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119" w:rsidRDefault="00D76122" w:rsidP="000472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2B0">
        <w:rPr>
          <w:rFonts w:ascii="Times New Roman" w:hAnsi="Times New Roman" w:cs="Times New Roman"/>
          <w:b/>
          <w:sz w:val="24"/>
          <w:szCs w:val="24"/>
        </w:rPr>
        <w:t>Предпосылки</w:t>
      </w:r>
      <w:r w:rsidR="000472B0" w:rsidRPr="000472B0">
        <w:rPr>
          <w:rFonts w:ascii="Times New Roman" w:hAnsi="Times New Roman" w:cs="Times New Roman"/>
          <w:b/>
          <w:sz w:val="24"/>
          <w:szCs w:val="24"/>
        </w:rPr>
        <w:t xml:space="preserve"> данного исследования, основанные на паре противоречий в действии антидепрессантов (АД).</w:t>
      </w:r>
    </w:p>
    <w:p w:rsidR="000472B0" w:rsidRDefault="00772A89" w:rsidP="00772A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СИОЗСы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быстро изменяют уровни моноаминов (серотонин, норадреналин…), однако их клиническое действие задерживается. Откуда резонный вопрос – из-за увеличения ли уровней моноаминов достигается АД-эффект?</w:t>
      </w:r>
    </w:p>
    <w:p w:rsidR="00772A89" w:rsidRDefault="00772A89" w:rsidP="00772A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Ингибитор рецепторов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глутамата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NMDA</w:t>
      </w:r>
      <w:r w:rsidR="003461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типа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кетамин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A8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KET</w:t>
      </w:r>
      <w:r w:rsidRPr="00772A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напр</w:t>
      </w:r>
      <w:r w:rsidR="0034618A">
        <w:rPr>
          <w:rFonts w:ascii="Times New Roman" w:hAnsi="Times New Roman" w:cs="Times New Roman"/>
          <w:sz w:val="24"/>
          <w:szCs w:val="24"/>
        </w:rPr>
        <w:t xml:space="preserve">отив, обладает </w:t>
      </w:r>
      <w:r w:rsidR="0005176A">
        <w:rPr>
          <w:rFonts w:ascii="Times New Roman" w:hAnsi="Times New Roman" w:cs="Times New Roman"/>
          <w:sz w:val="24"/>
          <w:szCs w:val="24"/>
        </w:rPr>
        <w:t xml:space="preserve">быстрым АД-эффектом за счет своего механизма. Однако метаболит </w:t>
      </w:r>
      <w:proofErr w:type="spellStart"/>
      <w:r w:rsidR="0005176A">
        <w:rPr>
          <w:rFonts w:ascii="Times New Roman" w:hAnsi="Times New Roman" w:cs="Times New Roman"/>
          <w:sz w:val="24"/>
          <w:szCs w:val="24"/>
        </w:rPr>
        <w:t>кетамина</w:t>
      </w:r>
      <w:proofErr w:type="spellEnd"/>
      <w:r w:rsidR="0005176A">
        <w:rPr>
          <w:rFonts w:ascii="Times New Roman" w:hAnsi="Times New Roman" w:cs="Times New Roman"/>
          <w:sz w:val="24"/>
          <w:szCs w:val="24"/>
        </w:rPr>
        <w:t xml:space="preserve"> 2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5176A" w:rsidRPr="0005176A">
        <w:rPr>
          <w:rFonts w:ascii="Times New Roman" w:hAnsi="Times New Roman" w:cs="Times New Roman"/>
          <w:sz w:val="24"/>
          <w:szCs w:val="24"/>
        </w:rPr>
        <w:t>, 6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5176A" w:rsidRPr="0005176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5176A">
        <w:rPr>
          <w:rFonts w:ascii="Times New Roman" w:hAnsi="Times New Roman" w:cs="Times New Roman"/>
          <w:sz w:val="24"/>
          <w:szCs w:val="24"/>
        </w:rPr>
        <w:t>гидроксиноркетамин</w:t>
      </w:r>
      <w:proofErr w:type="spellEnd"/>
      <w:r w:rsidR="0005176A">
        <w:rPr>
          <w:rFonts w:ascii="Times New Roman" w:hAnsi="Times New Roman" w:cs="Times New Roman"/>
          <w:sz w:val="24"/>
          <w:szCs w:val="24"/>
        </w:rPr>
        <w:t xml:space="preserve"> (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5176A" w:rsidRPr="0005176A">
        <w:rPr>
          <w:rFonts w:ascii="Times New Roman" w:hAnsi="Times New Roman" w:cs="Times New Roman"/>
          <w:sz w:val="24"/>
          <w:szCs w:val="24"/>
        </w:rPr>
        <w:t xml:space="preserve">, 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5176A" w:rsidRPr="0005176A">
        <w:rPr>
          <w:rFonts w:ascii="Times New Roman" w:hAnsi="Times New Roman" w:cs="Times New Roman"/>
          <w:sz w:val="24"/>
          <w:szCs w:val="24"/>
        </w:rPr>
        <w:t>-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HNK</w:t>
      </w:r>
      <w:r w:rsidR="0005176A" w:rsidRPr="0005176A">
        <w:rPr>
          <w:rFonts w:ascii="Times New Roman" w:hAnsi="Times New Roman" w:cs="Times New Roman"/>
          <w:sz w:val="24"/>
          <w:szCs w:val="24"/>
        </w:rPr>
        <w:t>)</w:t>
      </w:r>
      <w:r w:rsidR="0005176A">
        <w:rPr>
          <w:rFonts w:ascii="Times New Roman" w:hAnsi="Times New Roman" w:cs="Times New Roman"/>
          <w:sz w:val="24"/>
          <w:szCs w:val="24"/>
        </w:rPr>
        <w:t xml:space="preserve">, также обладающий АД-эффектом, при этом обладает низким сродством к 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NMDA</w:t>
      </w:r>
      <w:r w:rsidR="0005176A">
        <w:rPr>
          <w:rFonts w:ascii="Times New Roman" w:hAnsi="Times New Roman" w:cs="Times New Roman"/>
          <w:sz w:val="24"/>
          <w:szCs w:val="24"/>
        </w:rPr>
        <w:t xml:space="preserve">-рецепторам. Откуда резонный вопрос – из-за ингибирования ли </w:t>
      </w:r>
      <w:r w:rsidR="0005176A">
        <w:rPr>
          <w:rFonts w:ascii="Times New Roman" w:hAnsi="Times New Roman" w:cs="Times New Roman"/>
          <w:sz w:val="24"/>
          <w:szCs w:val="24"/>
          <w:lang w:val="en-US"/>
        </w:rPr>
        <w:t>NMDA</w:t>
      </w:r>
      <w:r w:rsidR="0005176A" w:rsidRPr="0005176A">
        <w:rPr>
          <w:rFonts w:ascii="Times New Roman" w:hAnsi="Times New Roman" w:cs="Times New Roman"/>
          <w:sz w:val="24"/>
          <w:szCs w:val="24"/>
        </w:rPr>
        <w:t>-</w:t>
      </w:r>
      <w:r w:rsidR="0005176A">
        <w:rPr>
          <w:rFonts w:ascii="Times New Roman" w:hAnsi="Times New Roman" w:cs="Times New Roman"/>
          <w:sz w:val="24"/>
          <w:szCs w:val="24"/>
        </w:rPr>
        <w:t xml:space="preserve">рецепторов достигается АД-эффект </w:t>
      </w:r>
      <w:proofErr w:type="spellStart"/>
      <w:r w:rsidR="0005176A">
        <w:rPr>
          <w:rFonts w:ascii="Times New Roman" w:hAnsi="Times New Roman" w:cs="Times New Roman"/>
          <w:sz w:val="24"/>
          <w:szCs w:val="24"/>
        </w:rPr>
        <w:t>кетамина</w:t>
      </w:r>
      <w:proofErr w:type="spellEnd"/>
      <w:r w:rsidR="0005176A">
        <w:rPr>
          <w:rFonts w:ascii="Times New Roman" w:hAnsi="Times New Roman" w:cs="Times New Roman"/>
          <w:sz w:val="24"/>
          <w:szCs w:val="24"/>
        </w:rPr>
        <w:t>?</w:t>
      </w:r>
    </w:p>
    <w:p w:rsidR="0005176A" w:rsidRDefault="0005176A" w:rsidP="000517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 вышенаписанное и то, что все АД (включая </w:t>
      </w:r>
      <w:r>
        <w:rPr>
          <w:rFonts w:ascii="Times New Roman" w:hAnsi="Times New Roman" w:cs="Times New Roman"/>
          <w:sz w:val="24"/>
          <w:szCs w:val="24"/>
          <w:lang w:val="en-US"/>
        </w:rPr>
        <w:t>KET</w:t>
      </w:r>
      <w:r w:rsidRPr="00051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517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HNK</w:t>
      </w:r>
      <w:r w:rsidRPr="0005176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увеличивают экспрессию и сигнализацию нейротрофического фактора мозга (</w:t>
      </w: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sz w:val="24"/>
          <w:szCs w:val="24"/>
        </w:rPr>
        <w:t xml:space="preserve">), а также то, что до сих пор считалось, что влияние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кетамина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сигнализацию </w:t>
      </w: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 w:rsidRPr="00051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косвенным (через ингибирование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SERT</w:t>
      </w:r>
      <w:r w:rsidRPr="00051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NMDA</w:t>
      </w:r>
      <w:r>
        <w:rPr>
          <w:rFonts w:ascii="Times New Roman" w:hAnsi="Times New Roman" w:cs="Times New Roman"/>
          <w:sz w:val="24"/>
          <w:szCs w:val="24"/>
        </w:rPr>
        <w:t xml:space="preserve">-рецепторов, соответственно), авторы исследования решили поподробней изучить сигнализацию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BDNF </w:t>
      </w:r>
      <w:r>
        <w:rPr>
          <w:rFonts w:ascii="Times New Roman" w:hAnsi="Times New Roman" w:cs="Times New Roman"/>
          <w:sz w:val="24"/>
          <w:szCs w:val="24"/>
        </w:rPr>
        <w:t>и влияние АД на нее.</w:t>
      </w:r>
    </w:p>
    <w:p w:rsidR="002D7F67" w:rsidRDefault="002D7F67" w:rsidP="002D7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E76" w:rsidRPr="00AE7E76" w:rsidRDefault="00AE7E76" w:rsidP="002D7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Механизм взаимодействий между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TRKB</w:t>
      </w:r>
      <w:r w:rsidRPr="00AE7E7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холестерином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CHOL</w:t>
      </w:r>
      <w:r w:rsidRPr="00AE7E76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и АД и </w:t>
      </w:r>
      <w:r w:rsidR="004047DB">
        <w:rPr>
          <w:rFonts w:ascii="Times New Roman" w:hAnsi="Times New Roman" w:cs="Times New Roman"/>
          <w:b/>
          <w:sz w:val="24"/>
          <w:szCs w:val="24"/>
        </w:rPr>
        <w:t>получаемые в результате</w:t>
      </w:r>
      <w:r>
        <w:rPr>
          <w:rFonts w:ascii="Times New Roman" w:hAnsi="Times New Roman" w:cs="Times New Roman"/>
          <w:b/>
          <w:sz w:val="24"/>
          <w:szCs w:val="24"/>
        </w:rPr>
        <w:t xml:space="preserve"> этих взаимодействий эффекты.</w:t>
      </w:r>
    </w:p>
    <w:p w:rsidR="00BD2F44" w:rsidRDefault="00BD2F44" w:rsidP="00BD2F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BD2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представляет из себя протеиновый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гомодимер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одинаковых белка, связанных друг с другом) в виде буквы Х. Эта буква Х пронизывает фосфолипидный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нейрона.</w:t>
      </w:r>
    </w:p>
    <w:p w:rsidR="00BD2F44" w:rsidRDefault="00BD2F44" w:rsidP="00BD2F4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EFE5E" wp14:editId="23610F40">
            <wp:extent cx="4402800" cy="1954800"/>
            <wp:effectExtent l="0" t="0" r="0" b="762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44" w:rsidRDefault="00BD2F44" w:rsidP="00BD2F4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472B0" w:rsidRDefault="009E51DC" w:rsidP="009761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Высвобождение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 w:rsidRPr="009E51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синапс из активированного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пресинапти</w:t>
      </w:r>
      <w:r w:rsidR="00367D7C">
        <w:rPr>
          <w:rFonts w:ascii="Times New Roman" w:hAnsi="Times New Roman" w:cs="Times New Roman"/>
          <w:sz w:val="24"/>
          <w:szCs w:val="24"/>
        </w:rPr>
        <w:t>ческого</w:t>
      </w:r>
      <w:proofErr w:type="spellEnd"/>
      <w:r w:rsidR="00367D7C">
        <w:rPr>
          <w:rFonts w:ascii="Times New Roman" w:hAnsi="Times New Roman" w:cs="Times New Roman"/>
          <w:sz w:val="24"/>
          <w:szCs w:val="24"/>
        </w:rPr>
        <w:t xml:space="preserve"> нейрона стимулирует про</w:t>
      </w:r>
      <w:r>
        <w:rPr>
          <w:rFonts w:ascii="Times New Roman" w:hAnsi="Times New Roman" w:cs="Times New Roman"/>
          <w:sz w:val="24"/>
          <w:szCs w:val="24"/>
        </w:rPr>
        <w:t xml:space="preserve">дукцию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9E51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постсинаптическом нейроне и его миграцию на наружную мембрану (</w:t>
      </w:r>
      <w:r w:rsidR="00367D7C">
        <w:rPr>
          <w:rFonts w:ascii="Times New Roman" w:hAnsi="Times New Roman" w:cs="Times New Roman"/>
          <w:sz w:val="24"/>
          <w:szCs w:val="24"/>
        </w:rPr>
        <w:t>внутрь ф</w:t>
      </w:r>
      <w:r>
        <w:rPr>
          <w:rFonts w:ascii="Times New Roman" w:hAnsi="Times New Roman" w:cs="Times New Roman"/>
          <w:sz w:val="24"/>
          <w:szCs w:val="24"/>
        </w:rPr>
        <w:t xml:space="preserve">осфолипидного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наружной мембраны).</w:t>
      </w:r>
    </w:p>
    <w:p w:rsidR="002D72BD" w:rsidRDefault="002D72BD" w:rsidP="009761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sz w:val="24"/>
          <w:szCs w:val="24"/>
        </w:rPr>
        <w:t xml:space="preserve">, связываясь с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 (рецептор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тирозинкиназы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В), инициирует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аутофосфорилирование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D7C">
        <w:rPr>
          <w:rFonts w:ascii="Times New Roman" w:hAnsi="Times New Roman" w:cs="Times New Roman"/>
          <w:sz w:val="24"/>
          <w:szCs w:val="24"/>
        </w:rPr>
        <w:t xml:space="preserve">аминокислоты </w:t>
      </w:r>
      <w:r w:rsidRPr="002D72BD">
        <w:rPr>
          <w:rFonts w:ascii="Times New Roman" w:hAnsi="Times New Roman" w:cs="Times New Roman"/>
          <w:sz w:val="24"/>
          <w:szCs w:val="24"/>
        </w:rPr>
        <w:t>тирозина 816 (</w:t>
      </w:r>
      <w:r>
        <w:rPr>
          <w:rFonts w:ascii="Times New Roman" w:hAnsi="Times New Roman" w:cs="Times New Roman"/>
          <w:sz w:val="24"/>
          <w:szCs w:val="24"/>
          <w:lang w:val="en-US"/>
        </w:rPr>
        <w:t>Tyr</w:t>
      </w:r>
      <w:r>
        <w:rPr>
          <w:rFonts w:ascii="Times New Roman" w:hAnsi="Times New Roman" w:cs="Times New Roman"/>
          <w:sz w:val="24"/>
          <w:szCs w:val="24"/>
        </w:rPr>
        <w:t xml:space="preserve">816)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внутринейронной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части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, что, в свою очередь, привлекает к данному тирозину </w:t>
      </w:r>
      <w:proofErr w:type="spellStart"/>
      <w:r w:rsidR="00367D7C">
        <w:rPr>
          <w:rFonts w:ascii="Times New Roman" w:hAnsi="Times New Roman" w:cs="Times New Roman"/>
          <w:sz w:val="24"/>
          <w:szCs w:val="24"/>
        </w:rPr>
        <w:t>фосфолипазу</w:t>
      </w:r>
      <w:proofErr w:type="spellEnd"/>
      <w:r w:rsidR="00367D7C">
        <w:rPr>
          <w:rFonts w:ascii="Times New Roman" w:hAnsi="Times New Roman" w:cs="Times New Roman"/>
          <w:sz w:val="24"/>
          <w:szCs w:val="24"/>
        </w:rPr>
        <w:t xml:space="preserve"> гамма </w:t>
      </w:r>
      <w:r w:rsidR="00367D7C" w:rsidRPr="00367D7C">
        <w:rPr>
          <w:rFonts w:ascii="Times New Roman" w:hAnsi="Times New Roman" w:cs="Times New Roman"/>
          <w:sz w:val="24"/>
          <w:szCs w:val="24"/>
        </w:rPr>
        <w:t>(</w:t>
      </w:r>
      <w:r w:rsidR="00367D7C">
        <w:rPr>
          <w:rFonts w:ascii="Times New Roman" w:hAnsi="Times New Roman" w:cs="Times New Roman"/>
          <w:sz w:val="24"/>
          <w:szCs w:val="24"/>
          <w:lang w:val="en-US"/>
        </w:rPr>
        <w:t>PLC</w:t>
      </w:r>
      <w:r w:rsidR="00367D7C" w:rsidRPr="00367D7C">
        <w:rPr>
          <w:rFonts w:ascii="Times New Roman" w:hAnsi="Times New Roman" w:cs="Times New Roman"/>
          <w:sz w:val="24"/>
          <w:szCs w:val="24"/>
        </w:rPr>
        <w:t>-</w:t>
      </w:r>
      <w:r w:rsidR="00367D7C">
        <w:rPr>
          <w:rFonts w:ascii="Times New Roman" w:hAnsi="Times New Roman" w:cs="Times New Roman"/>
          <w:sz w:val="24"/>
          <w:szCs w:val="24"/>
        </w:rPr>
        <w:t>ɣ</w:t>
      </w:r>
      <w:r w:rsidR="00367D7C" w:rsidRPr="00367D7C">
        <w:rPr>
          <w:rFonts w:ascii="Times New Roman" w:hAnsi="Times New Roman" w:cs="Times New Roman"/>
          <w:sz w:val="24"/>
          <w:szCs w:val="24"/>
        </w:rPr>
        <w:t>)</w:t>
      </w:r>
      <w:r w:rsidR="00367D7C">
        <w:rPr>
          <w:rFonts w:ascii="Times New Roman" w:hAnsi="Times New Roman" w:cs="Times New Roman"/>
          <w:sz w:val="24"/>
          <w:szCs w:val="24"/>
        </w:rPr>
        <w:t xml:space="preserve">, которая, </w:t>
      </w:r>
      <w:proofErr w:type="spellStart"/>
      <w:r w:rsidR="00367D7C">
        <w:rPr>
          <w:rFonts w:ascii="Times New Roman" w:hAnsi="Times New Roman" w:cs="Times New Roman"/>
          <w:sz w:val="24"/>
          <w:szCs w:val="24"/>
        </w:rPr>
        <w:t>фосфорилируясь</w:t>
      </w:r>
      <w:proofErr w:type="spellEnd"/>
      <w:r w:rsidR="00367D7C">
        <w:rPr>
          <w:rFonts w:ascii="Times New Roman" w:hAnsi="Times New Roman" w:cs="Times New Roman"/>
          <w:sz w:val="24"/>
          <w:szCs w:val="24"/>
        </w:rPr>
        <w:t xml:space="preserve"> от данного тирозина, инициирует дальнейший каскад реакций, именуемый </w:t>
      </w:r>
      <w:proofErr w:type="spellStart"/>
      <w:r w:rsidR="00367D7C">
        <w:rPr>
          <w:rFonts w:ascii="Times New Roman" w:hAnsi="Times New Roman" w:cs="Times New Roman"/>
          <w:sz w:val="24"/>
          <w:szCs w:val="24"/>
        </w:rPr>
        <w:t>внутринейронной</w:t>
      </w:r>
      <w:proofErr w:type="spellEnd"/>
      <w:r w:rsidR="00367D7C">
        <w:rPr>
          <w:rFonts w:ascii="Times New Roman" w:hAnsi="Times New Roman" w:cs="Times New Roman"/>
          <w:sz w:val="24"/>
          <w:szCs w:val="24"/>
        </w:rPr>
        <w:t xml:space="preserve"> сигнализацией. Благодаря данной сигнализации достигается </w:t>
      </w:r>
      <w:proofErr w:type="spellStart"/>
      <w:r w:rsidR="00367D7C">
        <w:rPr>
          <w:rFonts w:ascii="Times New Roman" w:hAnsi="Times New Roman" w:cs="Times New Roman"/>
          <w:sz w:val="24"/>
          <w:szCs w:val="24"/>
        </w:rPr>
        <w:t>синаптическая</w:t>
      </w:r>
      <w:proofErr w:type="spellEnd"/>
      <w:r w:rsidR="00367D7C">
        <w:rPr>
          <w:rFonts w:ascii="Times New Roman" w:hAnsi="Times New Roman" w:cs="Times New Roman"/>
          <w:sz w:val="24"/>
          <w:szCs w:val="24"/>
        </w:rPr>
        <w:t xml:space="preserve"> пластичность и предполагаемый АД-эффект.</w:t>
      </w:r>
    </w:p>
    <w:p w:rsidR="007E64C1" w:rsidRDefault="007E64C1" w:rsidP="007E64C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4640" cy="25298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C1" w:rsidRDefault="009E56CD" w:rsidP="007E64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Фосфорилирован</w:t>
      </w:r>
      <w:r w:rsidR="00BD2F44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, инициированное связыванием с </w:t>
      </w: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sz w:val="24"/>
          <w:szCs w:val="24"/>
        </w:rPr>
        <w:t xml:space="preserve">, невозможно без присутствия в фосфолипидном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мембраны холестерина </w:t>
      </w:r>
      <w:r w:rsidRPr="009E56C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9E56C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56CD" w:rsidRPr="00704EAC" w:rsidRDefault="009E56CD" w:rsidP="007E64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выяснили ученые, специфичные для связывания с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>
        <w:rPr>
          <w:rFonts w:ascii="Times New Roman" w:hAnsi="Times New Roman" w:cs="Times New Roman"/>
          <w:sz w:val="24"/>
          <w:szCs w:val="24"/>
        </w:rPr>
        <w:t xml:space="preserve"> сайт </w:t>
      </w:r>
      <w:r w:rsidRPr="009E56C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CARC</w:t>
      </w:r>
      <w:r w:rsidRPr="009E56C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имеется у рецептора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 на трансмембранном домене</w:t>
      </w:r>
      <w:r w:rsidRPr="009E5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TMD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(находящемся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9E56CD">
        <w:rPr>
          <w:rFonts w:ascii="Times New Roman" w:hAnsi="Times New Roman" w:cs="Times New Roman"/>
          <w:sz w:val="24"/>
          <w:szCs w:val="24"/>
        </w:rPr>
        <w:t>.</w:t>
      </w:r>
    </w:p>
    <w:p w:rsidR="00704EAC" w:rsidRDefault="00704EAC" w:rsidP="00704EAC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4000" cy="2606400"/>
            <wp:effectExtent l="0" t="0" r="0" b="381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7C" w:rsidRDefault="00367D7C" w:rsidP="007E64C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D2F44" w:rsidRDefault="00BD2F44" w:rsidP="00BD2F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выяснили ученые, максимальный отклик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BD2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связывание с </w:t>
      </w: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sz w:val="24"/>
          <w:szCs w:val="24"/>
        </w:rPr>
        <w:t xml:space="preserve"> в виде сигнализации достигается при определенном оптимальном количестве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BD2F44">
        <w:rPr>
          <w:rFonts w:ascii="Times New Roman" w:hAnsi="Times New Roman" w:cs="Times New Roman"/>
          <w:sz w:val="24"/>
          <w:szCs w:val="24"/>
        </w:rPr>
        <w:t xml:space="preserve"> </w:t>
      </w:r>
      <w:r w:rsidR="00926692">
        <w:rPr>
          <w:rFonts w:ascii="Times New Roman" w:hAnsi="Times New Roman" w:cs="Times New Roman"/>
          <w:sz w:val="24"/>
          <w:szCs w:val="24"/>
        </w:rPr>
        <w:t xml:space="preserve">в мембранном </w:t>
      </w:r>
      <w:proofErr w:type="spellStart"/>
      <w:r w:rsidR="00926692">
        <w:rPr>
          <w:rFonts w:ascii="Times New Roman" w:hAnsi="Times New Roman" w:cs="Times New Roman"/>
          <w:sz w:val="24"/>
          <w:szCs w:val="24"/>
        </w:rPr>
        <w:t>бислое</w:t>
      </w:r>
      <w:proofErr w:type="spellEnd"/>
      <w:r w:rsidR="00926692">
        <w:rPr>
          <w:rFonts w:ascii="Times New Roman" w:hAnsi="Times New Roman" w:cs="Times New Roman"/>
          <w:sz w:val="24"/>
          <w:szCs w:val="24"/>
        </w:rPr>
        <w:t xml:space="preserve"> (соответствует 20% молярной концентрации в </w:t>
      </w:r>
      <w:proofErr w:type="spellStart"/>
      <w:r w:rsidR="00926692">
        <w:rPr>
          <w:rFonts w:ascii="Times New Roman" w:hAnsi="Times New Roman" w:cs="Times New Roman"/>
          <w:sz w:val="24"/>
          <w:szCs w:val="24"/>
        </w:rPr>
        <w:t>культуральтной</w:t>
      </w:r>
      <w:proofErr w:type="spellEnd"/>
      <w:r w:rsidR="00926692">
        <w:rPr>
          <w:rFonts w:ascii="Times New Roman" w:hAnsi="Times New Roman" w:cs="Times New Roman"/>
          <w:sz w:val="24"/>
          <w:szCs w:val="24"/>
        </w:rPr>
        <w:t xml:space="preserve"> смеси).</w:t>
      </w:r>
    </w:p>
    <w:p w:rsidR="007133B7" w:rsidRDefault="00926692" w:rsidP="007133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выяснили</w:t>
      </w:r>
      <w:r w:rsidR="00A932B6">
        <w:rPr>
          <w:rFonts w:ascii="Times New Roman" w:hAnsi="Times New Roman" w:cs="Times New Roman"/>
          <w:sz w:val="24"/>
          <w:szCs w:val="24"/>
        </w:rPr>
        <w:t xml:space="preserve"> ученые, при понижении содержания </w:t>
      </w:r>
      <w:r w:rsidR="00A932B6"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="00A932B6" w:rsidRPr="00A932B6">
        <w:rPr>
          <w:rFonts w:ascii="Times New Roman" w:hAnsi="Times New Roman" w:cs="Times New Roman"/>
          <w:sz w:val="24"/>
          <w:szCs w:val="24"/>
        </w:rPr>
        <w:t xml:space="preserve"> </w:t>
      </w:r>
      <w:r w:rsidR="00A932B6">
        <w:rPr>
          <w:rFonts w:ascii="Times New Roman" w:hAnsi="Times New Roman" w:cs="Times New Roman"/>
          <w:sz w:val="24"/>
          <w:szCs w:val="24"/>
        </w:rPr>
        <w:t xml:space="preserve">в мембране (соответствует </w:t>
      </w:r>
      <w:proofErr w:type="spellStart"/>
      <w:r w:rsidR="00A932B6">
        <w:rPr>
          <w:rFonts w:ascii="Times New Roman" w:hAnsi="Times New Roman" w:cs="Times New Roman"/>
          <w:sz w:val="24"/>
          <w:szCs w:val="24"/>
        </w:rPr>
        <w:t>культуральной</w:t>
      </w:r>
      <w:proofErr w:type="spellEnd"/>
      <w:r w:rsidR="00A932B6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r w:rsidR="00A932B6"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="00A932B6" w:rsidRPr="00A932B6">
        <w:rPr>
          <w:rFonts w:ascii="Times New Roman" w:hAnsi="Times New Roman" w:cs="Times New Roman"/>
          <w:sz w:val="24"/>
          <w:szCs w:val="24"/>
        </w:rPr>
        <w:t xml:space="preserve"> </w:t>
      </w:r>
      <w:r w:rsidR="00A932B6">
        <w:rPr>
          <w:rFonts w:ascii="Times New Roman" w:hAnsi="Times New Roman" w:cs="Times New Roman"/>
          <w:sz w:val="24"/>
          <w:szCs w:val="24"/>
        </w:rPr>
        <w:t xml:space="preserve">менее 20% молярных) высота </w:t>
      </w:r>
      <w:proofErr w:type="spellStart"/>
      <w:r w:rsidR="00A932B6"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 w:rsidR="00A932B6">
        <w:rPr>
          <w:rFonts w:ascii="Times New Roman" w:hAnsi="Times New Roman" w:cs="Times New Roman"/>
          <w:sz w:val="24"/>
          <w:szCs w:val="24"/>
        </w:rPr>
        <w:t xml:space="preserve"> понижается и, следовательно, буква Х рецептора </w:t>
      </w:r>
      <w:r w:rsidR="00A932B6"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="00A932B6">
        <w:rPr>
          <w:rFonts w:ascii="Times New Roman" w:hAnsi="Times New Roman" w:cs="Times New Roman"/>
          <w:sz w:val="24"/>
          <w:szCs w:val="24"/>
        </w:rPr>
        <w:t xml:space="preserve">, как бы, подстраивается под это уменьшение толщины </w:t>
      </w:r>
      <w:proofErr w:type="spellStart"/>
      <w:r w:rsidR="00A932B6"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 w:rsidR="00A932B6">
        <w:rPr>
          <w:rFonts w:ascii="Times New Roman" w:hAnsi="Times New Roman" w:cs="Times New Roman"/>
          <w:sz w:val="24"/>
          <w:szCs w:val="24"/>
        </w:rPr>
        <w:t xml:space="preserve"> и, как бы, «растекается» по </w:t>
      </w:r>
      <w:proofErr w:type="spellStart"/>
      <w:r w:rsidR="00A932B6">
        <w:rPr>
          <w:rFonts w:ascii="Times New Roman" w:hAnsi="Times New Roman" w:cs="Times New Roman"/>
          <w:sz w:val="24"/>
          <w:szCs w:val="24"/>
        </w:rPr>
        <w:t>бислою</w:t>
      </w:r>
      <w:proofErr w:type="spellEnd"/>
      <w:r w:rsidR="00A932B6">
        <w:rPr>
          <w:rFonts w:ascii="Times New Roman" w:hAnsi="Times New Roman" w:cs="Times New Roman"/>
          <w:sz w:val="24"/>
          <w:szCs w:val="24"/>
        </w:rPr>
        <w:t>, тем самым, уменьшая высоту и, соответственно, увеличивая угол в вертикальных «промежностях» буквы Х.</w:t>
      </w:r>
      <w:r w:rsidR="007133B7">
        <w:rPr>
          <w:rFonts w:ascii="Times New Roman" w:hAnsi="Times New Roman" w:cs="Times New Roman"/>
          <w:sz w:val="24"/>
          <w:szCs w:val="24"/>
        </w:rPr>
        <w:t xml:space="preserve"> Таким образом, расстояние между «ножками» увеличивается</w:t>
      </w:r>
      <w:r w:rsidR="006500D6">
        <w:rPr>
          <w:rFonts w:ascii="Times New Roman" w:hAnsi="Times New Roman" w:cs="Times New Roman"/>
          <w:sz w:val="24"/>
          <w:szCs w:val="24"/>
        </w:rPr>
        <w:t xml:space="preserve"> от оптимальной</w:t>
      </w:r>
      <w:r w:rsidR="007133B7">
        <w:rPr>
          <w:rFonts w:ascii="Times New Roman" w:hAnsi="Times New Roman" w:cs="Times New Roman"/>
          <w:sz w:val="24"/>
          <w:szCs w:val="24"/>
        </w:rPr>
        <w:t xml:space="preserve"> и из-за этого взаимодействие </w:t>
      </w:r>
      <w:r w:rsidR="007133B7">
        <w:rPr>
          <w:rFonts w:ascii="Times New Roman" w:hAnsi="Times New Roman" w:cs="Times New Roman"/>
          <w:sz w:val="24"/>
          <w:szCs w:val="24"/>
          <w:lang w:val="en-US"/>
        </w:rPr>
        <w:t>PLC</w:t>
      </w:r>
      <w:r w:rsidR="007133B7" w:rsidRPr="00367D7C">
        <w:rPr>
          <w:rFonts w:ascii="Times New Roman" w:hAnsi="Times New Roman" w:cs="Times New Roman"/>
          <w:sz w:val="24"/>
          <w:szCs w:val="24"/>
        </w:rPr>
        <w:t>-</w:t>
      </w:r>
      <w:r w:rsidR="007133B7">
        <w:rPr>
          <w:rFonts w:ascii="Times New Roman" w:hAnsi="Times New Roman" w:cs="Times New Roman"/>
          <w:sz w:val="24"/>
          <w:szCs w:val="24"/>
        </w:rPr>
        <w:t>ɣ</w:t>
      </w:r>
      <w:r w:rsidR="007133B7" w:rsidRPr="007133B7">
        <w:rPr>
          <w:rFonts w:ascii="Times New Roman" w:hAnsi="Times New Roman" w:cs="Times New Roman"/>
          <w:sz w:val="24"/>
          <w:szCs w:val="24"/>
        </w:rPr>
        <w:t xml:space="preserve"> </w:t>
      </w:r>
      <w:r w:rsidR="007133B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133B7" w:rsidRPr="007133B7">
        <w:rPr>
          <w:rFonts w:ascii="Times New Roman" w:hAnsi="Times New Roman" w:cs="Times New Roman"/>
          <w:sz w:val="24"/>
          <w:szCs w:val="24"/>
        </w:rPr>
        <w:t xml:space="preserve"> </w:t>
      </w:r>
      <w:r w:rsidR="006500D6"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="006500D6" w:rsidRPr="006500D6">
        <w:rPr>
          <w:rFonts w:ascii="Times New Roman" w:hAnsi="Times New Roman" w:cs="Times New Roman"/>
          <w:sz w:val="24"/>
          <w:szCs w:val="24"/>
        </w:rPr>
        <w:t xml:space="preserve"> </w:t>
      </w:r>
      <w:r w:rsidR="006500D6">
        <w:rPr>
          <w:rFonts w:ascii="Times New Roman" w:hAnsi="Times New Roman" w:cs="Times New Roman"/>
          <w:sz w:val="24"/>
          <w:szCs w:val="24"/>
        </w:rPr>
        <w:t>становится затруднительным, следовательно, дальнейшая сигнализация также становится затруднительной.</w:t>
      </w:r>
    </w:p>
    <w:p w:rsidR="006500D6" w:rsidRDefault="006500D6" w:rsidP="007133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повышении концентрации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6500D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A932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более близкой к 4</w:t>
      </w:r>
      <w:r>
        <w:rPr>
          <w:rFonts w:ascii="Times New Roman" w:hAnsi="Times New Roman" w:cs="Times New Roman"/>
          <w:sz w:val="24"/>
          <w:szCs w:val="24"/>
        </w:rPr>
        <w:t>0% молярных</w:t>
      </w:r>
      <w:r>
        <w:rPr>
          <w:rFonts w:ascii="Times New Roman" w:hAnsi="Times New Roman" w:cs="Times New Roman"/>
          <w:sz w:val="24"/>
          <w:szCs w:val="24"/>
        </w:rPr>
        <w:t xml:space="preserve">) высота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увеличивается</w:t>
      </w:r>
      <w:r>
        <w:rPr>
          <w:rFonts w:ascii="Times New Roman" w:hAnsi="Times New Roman" w:cs="Times New Roman"/>
          <w:sz w:val="24"/>
          <w:szCs w:val="24"/>
        </w:rPr>
        <w:t xml:space="preserve"> и, следовательно, буква Х рецептора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>, как бы, п</w:t>
      </w:r>
      <w:r>
        <w:rPr>
          <w:rFonts w:ascii="Times New Roman" w:hAnsi="Times New Roman" w:cs="Times New Roman"/>
          <w:sz w:val="24"/>
          <w:szCs w:val="24"/>
        </w:rPr>
        <w:t>одстраивается под это увеличение</w:t>
      </w:r>
      <w:r>
        <w:rPr>
          <w:rFonts w:ascii="Times New Roman" w:hAnsi="Times New Roman" w:cs="Times New Roman"/>
          <w:sz w:val="24"/>
          <w:szCs w:val="24"/>
        </w:rPr>
        <w:t xml:space="preserve"> толщины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и, как бы, </w:t>
      </w:r>
      <w:r>
        <w:rPr>
          <w:rFonts w:ascii="Times New Roman" w:hAnsi="Times New Roman" w:cs="Times New Roman"/>
          <w:sz w:val="24"/>
          <w:szCs w:val="24"/>
        </w:rPr>
        <w:t xml:space="preserve">«вытягивается» вдоль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>
        <w:rPr>
          <w:rFonts w:ascii="Times New Roman" w:hAnsi="Times New Roman" w:cs="Times New Roman"/>
          <w:sz w:val="24"/>
          <w:szCs w:val="24"/>
        </w:rPr>
        <w:t>, тем самым, увеличивая высоту и, соответственно, уменьшая</w:t>
      </w:r>
      <w:r>
        <w:rPr>
          <w:rFonts w:ascii="Times New Roman" w:hAnsi="Times New Roman" w:cs="Times New Roman"/>
          <w:sz w:val="24"/>
          <w:szCs w:val="24"/>
        </w:rPr>
        <w:t xml:space="preserve"> угол в вертикальных «промежностях» буквы 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Таким образом, расстояние между «ножками»</w:t>
      </w:r>
      <w:r>
        <w:rPr>
          <w:rFonts w:ascii="Times New Roman" w:hAnsi="Times New Roman" w:cs="Times New Roman"/>
          <w:sz w:val="24"/>
          <w:szCs w:val="24"/>
        </w:rPr>
        <w:t xml:space="preserve"> уменьшается от оптимальной</w:t>
      </w:r>
      <w:r>
        <w:rPr>
          <w:rFonts w:ascii="Times New Roman" w:hAnsi="Times New Roman" w:cs="Times New Roman"/>
          <w:sz w:val="24"/>
          <w:szCs w:val="24"/>
        </w:rPr>
        <w:t xml:space="preserve"> и из-за этого взаимодействие </w:t>
      </w:r>
      <w:r>
        <w:rPr>
          <w:rFonts w:ascii="Times New Roman" w:hAnsi="Times New Roman" w:cs="Times New Roman"/>
          <w:sz w:val="24"/>
          <w:szCs w:val="24"/>
          <w:lang w:val="en-US"/>
        </w:rPr>
        <w:t>PLC</w:t>
      </w:r>
      <w:r w:rsidRPr="00367D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ɣ</w:t>
      </w:r>
      <w:r w:rsidRPr="00713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13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6500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становится затруднительным, следовательно, дальнейшая сигнализация также становится затруднительной.</w:t>
      </w:r>
    </w:p>
    <w:p w:rsidR="006500D6" w:rsidRDefault="006500D6" w:rsidP="006500D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того, как выяснили ученые, данная вытянутая структура буквы Х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6500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крайне ненадежно удерживается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мембраны и легко оттуда «выпадает».</w:t>
      </w:r>
    </w:p>
    <w:p w:rsidR="006500D6" w:rsidRDefault="006500D6" w:rsidP="006500D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8101B6" wp14:editId="762B72EA">
            <wp:simplePos x="2057400" y="838200"/>
            <wp:positionH relativeFrom="column">
              <wp:posOffset>2057400</wp:posOffset>
            </wp:positionH>
            <wp:positionV relativeFrom="paragraph">
              <wp:align>top</wp:align>
            </wp:positionV>
            <wp:extent cx="3669489" cy="1950559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89" cy="195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0D6" w:rsidRPr="006500D6" w:rsidRDefault="006500D6" w:rsidP="006500D6"/>
    <w:p w:rsidR="006500D6" w:rsidRPr="006500D6" w:rsidRDefault="006500D6" w:rsidP="006500D6"/>
    <w:p w:rsidR="006500D6" w:rsidRPr="006500D6" w:rsidRDefault="006500D6" w:rsidP="006500D6"/>
    <w:p w:rsidR="006500D6" w:rsidRPr="006500D6" w:rsidRDefault="006500D6" w:rsidP="006500D6"/>
    <w:p w:rsidR="006500D6" w:rsidRPr="006500D6" w:rsidRDefault="006500D6" w:rsidP="006500D6"/>
    <w:p w:rsidR="006500D6" w:rsidRDefault="006500D6" w:rsidP="006500D6"/>
    <w:p w:rsidR="006500D6" w:rsidRPr="00226ED6" w:rsidRDefault="00142B64" w:rsidP="006500D6">
      <w:pPr>
        <w:pStyle w:val="a3"/>
        <w:numPr>
          <w:ilvl w:val="0"/>
          <w:numId w:val="2"/>
        </w:numPr>
        <w:tabs>
          <w:tab w:val="left" w:pos="5748"/>
        </w:tabs>
      </w:pPr>
      <w:r>
        <w:rPr>
          <w:rFonts w:ascii="Times New Roman" w:hAnsi="Times New Roman" w:cs="Times New Roman"/>
          <w:sz w:val="24"/>
          <w:szCs w:val="24"/>
        </w:rPr>
        <w:t xml:space="preserve">Как выяснили ученые, на примере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СИОЗСа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флуоксетина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FLX</w:t>
      </w:r>
      <w:r w:rsidRPr="00142B6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АД (включая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кетамин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связываются с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142B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районе верхней «промежности» </w:t>
      </w:r>
      <w:r w:rsidR="00226ED6">
        <w:rPr>
          <w:rFonts w:ascii="Times New Roman" w:hAnsi="Times New Roman" w:cs="Times New Roman"/>
          <w:sz w:val="24"/>
          <w:szCs w:val="24"/>
        </w:rPr>
        <w:t xml:space="preserve">(кармана) и, тем самым, стабилизируют структуру </w:t>
      </w:r>
      <w:proofErr w:type="spellStart"/>
      <w:r w:rsidR="00226ED6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  <w:r w:rsidR="00226ED6">
        <w:rPr>
          <w:rFonts w:ascii="Times New Roman" w:hAnsi="Times New Roman" w:cs="Times New Roman"/>
          <w:sz w:val="24"/>
          <w:szCs w:val="24"/>
        </w:rPr>
        <w:t xml:space="preserve"> </w:t>
      </w:r>
      <w:r w:rsidR="00226ED6"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="00226ED6" w:rsidRPr="00226ED6">
        <w:rPr>
          <w:rFonts w:ascii="Times New Roman" w:hAnsi="Times New Roman" w:cs="Times New Roman"/>
          <w:sz w:val="24"/>
          <w:szCs w:val="24"/>
        </w:rPr>
        <w:t xml:space="preserve"> </w:t>
      </w:r>
      <w:r w:rsidR="00226ED6">
        <w:rPr>
          <w:rFonts w:ascii="Times New Roman" w:hAnsi="Times New Roman" w:cs="Times New Roman"/>
          <w:sz w:val="24"/>
          <w:szCs w:val="24"/>
        </w:rPr>
        <w:t>(угол промежности) в состоянии близком к оптимальному для дальнейшей сигнализации.</w:t>
      </w:r>
    </w:p>
    <w:p w:rsidR="00226ED6" w:rsidRDefault="00226ED6" w:rsidP="00226ED6">
      <w:pPr>
        <w:pStyle w:val="a3"/>
        <w:tabs>
          <w:tab w:val="left" w:pos="5748"/>
        </w:tabs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8F2D32F" wp14:editId="1F72DBA6">
            <wp:extent cx="2182188" cy="424856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188" cy="42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D6" w:rsidRPr="00D53F54" w:rsidRDefault="00226ED6" w:rsidP="00226ED6">
      <w:pPr>
        <w:pStyle w:val="a3"/>
        <w:numPr>
          <w:ilvl w:val="0"/>
          <w:numId w:val="2"/>
        </w:numPr>
        <w:tabs>
          <w:tab w:val="left" w:pos="2280"/>
        </w:tabs>
      </w:pPr>
      <w:r>
        <w:rPr>
          <w:rFonts w:ascii="Times New Roman" w:hAnsi="Times New Roman" w:cs="Times New Roman"/>
          <w:sz w:val="24"/>
          <w:szCs w:val="24"/>
        </w:rPr>
        <w:t xml:space="preserve">Также АД стимулируют экспрессию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транслокацию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(транспорт, перемещение)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226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«глубины» нейрона на мембрану в районе синапса.</w:t>
      </w:r>
    </w:p>
    <w:p w:rsidR="00D53F54" w:rsidRPr="00226ED6" w:rsidRDefault="00D53F54" w:rsidP="00D53F54">
      <w:pPr>
        <w:pStyle w:val="a3"/>
        <w:tabs>
          <w:tab w:val="left" w:pos="2280"/>
        </w:tabs>
        <w:ind w:left="360"/>
        <w:jc w:val="center"/>
      </w:pPr>
    </w:p>
    <w:p w:rsidR="00226ED6" w:rsidRDefault="00226ED6" w:rsidP="00226ED6">
      <w:pPr>
        <w:pStyle w:val="a3"/>
        <w:tabs>
          <w:tab w:val="left" w:pos="2280"/>
        </w:tabs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B68677" wp14:editId="1AB428DA">
            <wp:extent cx="5958000" cy="2725200"/>
            <wp:effectExtent l="0" t="0" r="508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D6" w:rsidRDefault="00D53F54" w:rsidP="00D53F54">
      <w:pPr>
        <w:jc w:val="center"/>
      </w:pPr>
      <w:r>
        <w:rPr>
          <w:noProof/>
          <w:lang w:eastAsia="ru-RU"/>
        </w:rPr>
        <w:drawing>
          <wp:inline distT="0" distB="0" distL="0" distR="0" wp14:anchorId="1EC0E385" wp14:editId="0DD5C4EF">
            <wp:extent cx="523112" cy="3328146"/>
            <wp:effectExtent l="698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112" cy="33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D6" w:rsidRDefault="00226ED6" w:rsidP="00226ED6">
      <w:pPr>
        <w:rPr>
          <w:rFonts w:ascii="Times New Roman" w:hAnsi="Times New Roman" w:cs="Times New Roman"/>
          <w:b/>
          <w:sz w:val="24"/>
          <w:szCs w:val="24"/>
        </w:rPr>
      </w:pPr>
      <w:r w:rsidRPr="00226ED6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226ED6" w:rsidRDefault="00226ED6" w:rsidP="00226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на основе вышеизложенного получается следующая картина:</w:t>
      </w:r>
    </w:p>
    <w:p w:rsidR="00226ED6" w:rsidRDefault="00226ED6" w:rsidP="00226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BDNF</w:t>
      </w:r>
      <w:r>
        <w:rPr>
          <w:rFonts w:ascii="Times New Roman" w:hAnsi="Times New Roman" w:cs="Times New Roman"/>
          <w:sz w:val="24"/>
          <w:szCs w:val="24"/>
        </w:rPr>
        <w:t xml:space="preserve">, выйдя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пресинаптического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йрона в синапс и связываясь с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226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постсинаптического нейрона, стимулирует в постсинаптическом нейроне</w:t>
      </w:r>
      <w:r w:rsidR="00135AB9">
        <w:rPr>
          <w:rFonts w:ascii="Times New Roman" w:hAnsi="Times New Roman" w:cs="Times New Roman"/>
          <w:sz w:val="24"/>
          <w:szCs w:val="24"/>
        </w:rPr>
        <w:t xml:space="preserve"> повышенную экспрессию и транспорт на мембрану связывающегося с </w:t>
      </w:r>
      <w:proofErr w:type="spellStart"/>
      <w:r w:rsidR="00135AB9">
        <w:rPr>
          <w:rFonts w:ascii="Times New Roman" w:hAnsi="Times New Roman" w:cs="Times New Roman"/>
          <w:sz w:val="24"/>
          <w:szCs w:val="24"/>
        </w:rPr>
        <w:t>внутримембранным</w:t>
      </w:r>
      <w:proofErr w:type="spellEnd"/>
      <w:r w:rsidR="00135AB9">
        <w:rPr>
          <w:rFonts w:ascii="Times New Roman" w:hAnsi="Times New Roman" w:cs="Times New Roman"/>
          <w:sz w:val="24"/>
          <w:szCs w:val="24"/>
        </w:rPr>
        <w:t xml:space="preserve"> доменом </w:t>
      </w:r>
      <w:r w:rsidR="00135AB9"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="00135AB9">
        <w:rPr>
          <w:rFonts w:ascii="Times New Roman" w:hAnsi="Times New Roman" w:cs="Times New Roman"/>
          <w:sz w:val="24"/>
          <w:szCs w:val="24"/>
        </w:rPr>
        <w:t xml:space="preserve">, а также запускает процесс </w:t>
      </w:r>
      <w:proofErr w:type="spellStart"/>
      <w:r w:rsidR="00135AB9">
        <w:rPr>
          <w:rFonts w:ascii="Times New Roman" w:hAnsi="Times New Roman" w:cs="Times New Roman"/>
          <w:sz w:val="24"/>
          <w:szCs w:val="24"/>
        </w:rPr>
        <w:t>внутринейронной</w:t>
      </w:r>
      <w:proofErr w:type="spellEnd"/>
      <w:r w:rsidR="00135AB9">
        <w:rPr>
          <w:rFonts w:ascii="Times New Roman" w:hAnsi="Times New Roman" w:cs="Times New Roman"/>
          <w:sz w:val="24"/>
          <w:szCs w:val="24"/>
        </w:rPr>
        <w:t xml:space="preserve"> сигнализации, необходимой для </w:t>
      </w:r>
      <w:proofErr w:type="spellStart"/>
      <w:r w:rsidR="00135AB9">
        <w:rPr>
          <w:rFonts w:ascii="Times New Roman" w:hAnsi="Times New Roman" w:cs="Times New Roman"/>
          <w:sz w:val="24"/>
          <w:szCs w:val="24"/>
        </w:rPr>
        <w:t>синаптической</w:t>
      </w:r>
      <w:proofErr w:type="spellEnd"/>
      <w:r w:rsidR="00135AB9">
        <w:rPr>
          <w:rFonts w:ascii="Times New Roman" w:hAnsi="Times New Roman" w:cs="Times New Roman"/>
          <w:sz w:val="24"/>
          <w:szCs w:val="24"/>
        </w:rPr>
        <w:t xml:space="preserve"> пластичности и для АД-эффекта.</w:t>
      </w:r>
    </w:p>
    <w:p w:rsidR="00135AB9" w:rsidRDefault="00135AB9" w:rsidP="00226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по мере накопления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  <w:r w:rsidRPr="00135A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мембраны до определенного количества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135A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приобретает неидеальную для дальнейшей сигнализации конфигурацию и она (сигнализация) сильно ухудшается.</w:t>
      </w:r>
    </w:p>
    <w:p w:rsidR="00D53F54" w:rsidRDefault="00135AB9" w:rsidP="00D53F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972772" wp14:editId="15D12186">
            <wp:simplePos x="2819400" y="5692140"/>
            <wp:positionH relativeFrom="column">
              <wp:posOffset>2819400</wp:posOffset>
            </wp:positionH>
            <wp:positionV relativeFrom="paragraph">
              <wp:align>top</wp:align>
            </wp:positionV>
            <wp:extent cx="1922400" cy="233280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AB9" w:rsidRDefault="00D53F54" w:rsidP="00D53F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35AB9" w:rsidRDefault="00582747" w:rsidP="00135A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же мы вводим АД, то, во-первых, они, словно клин, входят в карман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внутримембранного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домена </w:t>
      </w:r>
      <w:r>
        <w:rPr>
          <w:rFonts w:ascii="Times New Roman" w:hAnsi="Times New Roman" w:cs="Times New Roman"/>
          <w:sz w:val="24"/>
          <w:szCs w:val="24"/>
          <w:lang w:val="en-US"/>
        </w:rPr>
        <w:t>TRKB</w:t>
      </w:r>
      <w:r>
        <w:rPr>
          <w:rFonts w:ascii="Times New Roman" w:hAnsi="Times New Roman" w:cs="Times New Roman"/>
          <w:sz w:val="24"/>
          <w:szCs w:val="24"/>
        </w:rPr>
        <w:t xml:space="preserve">, препятствуя, тем самым, приобретению «плохой» конфигурации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TRKB </w:t>
      </w:r>
      <w:r>
        <w:rPr>
          <w:rFonts w:ascii="Times New Roman" w:hAnsi="Times New Roman" w:cs="Times New Roman"/>
          <w:sz w:val="24"/>
          <w:szCs w:val="24"/>
        </w:rPr>
        <w:t xml:space="preserve">в условиях повышенного </w:t>
      </w:r>
      <w:r>
        <w:rPr>
          <w:rFonts w:ascii="Times New Roman" w:hAnsi="Times New Roman" w:cs="Times New Roman"/>
          <w:sz w:val="24"/>
          <w:szCs w:val="24"/>
          <w:lang w:val="en-US"/>
        </w:rPr>
        <w:t>CHOL</w:t>
      </w:r>
    </w:p>
    <w:p w:rsidR="00582747" w:rsidRDefault="00582747" w:rsidP="005827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EE20EE" wp14:editId="7A952C58">
            <wp:extent cx="1861200" cy="2347200"/>
            <wp:effectExtent l="0" t="0" r="571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747" w:rsidRDefault="00D20B6F" w:rsidP="00582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82747">
        <w:rPr>
          <w:rFonts w:ascii="Times New Roman" w:hAnsi="Times New Roman" w:cs="Times New Roman"/>
          <w:sz w:val="24"/>
          <w:szCs w:val="24"/>
        </w:rPr>
        <w:t xml:space="preserve">, во-вторых, повышают экспрессию и транспорт </w:t>
      </w:r>
      <w:r w:rsidR="00582747">
        <w:rPr>
          <w:rFonts w:ascii="Times New Roman" w:hAnsi="Times New Roman" w:cs="Times New Roman"/>
          <w:sz w:val="24"/>
          <w:szCs w:val="24"/>
          <w:lang w:val="en-US"/>
        </w:rPr>
        <w:t>TRKB</w:t>
      </w:r>
      <w:r w:rsidRPr="00D20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мембрану постсинаптического нейрона в районе синапса, тем самым, также увеличивая сигнализацию</w:t>
      </w:r>
    </w:p>
    <w:p w:rsidR="00D53F54" w:rsidRDefault="00D53F54" w:rsidP="00D53F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95E266" wp14:editId="1F31332A">
            <wp:extent cx="2908800" cy="2595600"/>
            <wp:effectExtent l="0" t="0" r="635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6F" w:rsidRPr="00D20B6F" w:rsidRDefault="00D20B6F" w:rsidP="00582747">
      <w:pPr>
        <w:rPr>
          <w:rFonts w:ascii="Times New Roman" w:hAnsi="Times New Roman" w:cs="Times New Roman"/>
          <w:sz w:val="24"/>
          <w:szCs w:val="24"/>
        </w:rPr>
      </w:pPr>
    </w:p>
    <w:sectPr w:rsidR="00D20B6F" w:rsidRPr="00D20B6F" w:rsidSect="006E6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37A71"/>
    <w:multiLevelType w:val="hybridMultilevel"/>
    <w:tmpl w:val="FD54466A"/>
    <w:lvl w:ilvl="0" w:tplc="9F46F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5A194A"/>
    <w:multiLevelType w:val="hybridMultilevel"/>
    <w:tmpl w:val="A07E8BB0"/>
    <w:lvl w:ilvl="0" w:tplc="400469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00"/>
    <w:rsid w:val="000472B0"/>
    <w:rsid w:val="0005176A"/>
    <w:rsid w:val="00135AB9"/>
    <w:rsid w:val="00142B64"/>
    <w:rsid w:val="00212119"/>
    <w:rsid w:val="00226ED6"/>
    <w:rsid w:val="002D72BD"/>
    <w:rsid w:val="002D7F67"/>
    <w:rsid w:val="0034618A"/>
    <w:rsid w:val="00367D7C"/>
    <w:rsid w:val="004047DB"/>
    <w:rsid w:val="00545300"/>
    <w:rsid w:val="00582747"/>
    <w:rsid w:val="006500D6"/>
    <w:rsid w:val="00680F44"/>
    <w:rsid w:val="006E6E59"/>
    <w:rsid w:val="00704EAC"/>
    <w:rsid w:val="007133B7"/>
    <w:rsid w:val="00772A89"/>
    <w:rsid w:val="007E64C1"/>
    <w:rsid w:val="008B24FF"/>
    <w:rsid w:val="00926692"/>
    <w:rsid w:val="00976162"/>
    <w:rsid w:val="009E51DC"/>
    <w:rsid w:val="009E56CD"/>
    <w:rsid w:val="00A932B6"/>
    <w:rsid w:val="00AE7E76"/>
    <w:rsid w:val="00BC06A5"/>
    <w:rsid w:val="00BD2F44"/>
    <w:rsid w:val="00D20B6F"/>
    <w:rsid w:val="00D53F54"/>
    <w:rsid w:val="00D7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33F81"/>
  <w15:chartTrackingRefBased/>
  <w15:docId w15:val="{F2FC4DC7-C05F-4BFE-9003-9580F375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A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6F8BD-8C4B-4D93-BE87-8D75790A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2021-03-04T11:20:00Z</dcterms:created>
  <dcterms:modified xsi:type="dcterms:W3CDTF">2021-03-04T14:15:00Z</dcterms:modified>
</cp:coreProperties>
</file>