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83C" w:rsidRPr="00F11FF7" w:rsidRDefault="00516581">
      <w:r>
        <w:t xml:space="preserve">Если мы </w:t>
      </w:r>
      <w:r w:rsidR="00F11FF7" w:rsidRPr="00F11FF7">
        <w:t>посмотрим на рисунок ниже</w:t>
      </w:r>
      <w:r w:rsidR="00F11FF7">
        <w:t>, иллюстрирующий</w:t>
      </w:r>
      <w:r>
        <w:t xml:space="preserve"> отличия между </w:t>
      </w:r>
      <w:r>
        <w:rPr>
          <w:lang w:val="en-US"/>
        </w:rPr>
        <w:t>TDF</w:t>
      </w:r>
      <w:r w:rsidRPr="00516581">
        <w:t xml:space="preserve"> </w:t>
      </w:r>
      <w:r>
        <w:t xml:space="preserve">и </w:t>
      </w:r>
      <w:r>
        <w:rPr>
          <w:lang w:val="en-US"/>
        </w:rPr>
        <w:t>TAF</w:t>
      </w:r>
      <w:r w:rsidR="00F11FF7">
        <w:t>:</w:t>
      </w:r>
    </w:p>
    <w:p w:rsidR="00516581" w:rsidRDefault="00516581" w:rsidP="00516581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08FE4D6" wp14:editId="4F7934FA">
            <wp:extent cx="4053600" cy="24588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53600" cy="24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325" w:rsidRDefault="00516581" w:rsidP="00516581">
      <w:r>
        <w:t>то</w:t>
      </w:r>
      <w:r w:rsidR="00F11FF7">
        <w:t xml:space="preserve"> вспомним</w:t>
      </w:r>
      <w:r>
        <w:t xml:space="preserve">, что </w:t>
      </w:r>
      <w:r w:rsidR="00C21048" w:rsidRPr="00C21048">
        <w:t xml:space="preserve">непосредственно активная форма лекарственного средства </w:t>
      </w:r>
      <w:r w:rsidR="00C21048">
        <w:t>в виде</w:t>
      </w:r>
      <w:r w:rsidR="00C21048" w:rsidRPr="00C21048">
        <w:t xml:space="preserve"> </w:t>
      </w:r>
      <w:r w:rsidR="00C21048">
        <w:rPr>
          <w:lang w:val="en-US"/>
        </w:rPr>
        <w:t>TFV</w:t>
      </w:r>
      <w:r w:rsidR="00C21048" w:rsidRPr="00C21048">
        <w:t xml:space="preserve"> (</w:t>
      </w:r>
      <w:proofErr w:type="spellStart"/>
      <w:r w:rsidR="00C21048" w:rsidRPr="00C21048">
        <w:t>тенофовир</w:t>
      </w:r>
      <w:proofErr w:type="spellEnd"/>
      <w:r w:rsidR="00C21048" w:rsidRPr="00C21048">
        <w:t>)</w:t>
      </w:r>
      <w:r w:rsidR="00E07E9C">
        <w:t xml:space="preserve"> имеет малую </w:t>
      </w:r>
      <w:proofErr w:type="spellStart"/>
      <w:r w:rsidR="00E07E9C">
        <w:t>биодоступность</w:t>
      </w:r>
      <w:proofErr w:type="spellEnd"/>
      <w:r w:rsidR="00E07E9C">
        <w:t xml:space="preserve"> вследствие плохого</w:t>
      </w:r>
      <w:r w:rsidR="00795FA1" w:rsidRPr="00795FA1">
        <w:t xml:space="preserve"> </w:t>
      </w:r>
      <w:r w:rsidR="00C04151">
        <w:t>транспорта через клеточные мембраны</w:t>
      </w:r>
      <w:r w:rsidR="00795FA1">
        <w:t xml:space="preserve"> (т.к. </w:t>
      </w:r>
      <w:r w:rsidR="00795FA1">
        <w:rPr>
          <w:lang w:val="en-US"/>
        </w:rPr>
        <w:t>TFV</w:t>
      </w:r>
      <w:r w:rsidR="00795FA1" w:rsidRPr="00C04151">
        <w:t xml:space="preserve"> </w:t>
      </w:r>
      <w:r w:rsidR="00C04151">
        <w:t xml:space="preserve">является анионом). Соответственно </w:t>
      </w:r>
      <w:r w:rsidR="00C04151">
        <w:rPr>
          <w:lang w:val="en-US"/>
        </w:rPr>
        <w:t>TFV</w:t>
      </w:r>
      <w:r w:rsidR="00C04151" w:rsidRPr="00C04151">
        <w:t xml:space="preserve"> </w:t>
      </w:r>
      <w:r w:rsidR="00C04151">
        <w:t>слабо проникает</w:t>
      </w:r>
      <w:r w:rsidR="00E07E9C">
        <w:t xml:space="preserve"> </w:t>
      </w:r>
      <w:r w:rsidR="00E07E9C" w:rsidRPr="00E07E9C">
        <w:t>из просвета кишечника</w:t>
      </w:r>
      <w:r w:rsidR="00C04151">
        <w:t xml:space="preserve"> через его стенки</w:t>
      </w:r>
      <w:r w:rsidR="00E07E9C" w:rsidRPr="00E07E9C">
        <w:t xml:space="preserve"> в кровь</w:t>
      </w:r>
      <w:r w:rsidR="00E07E9C">
        <w:t>/плазму</w:t>
      </w:r>
      <w:r w:rsidR="00C04151">
        <w:t xml:space="preserve">, а также из плазмы внутрь целевых клеток (лимфоциты, макрофаги и др.) </w:t>
      </w:r>
      <w:r w:rsidR="00E07E9C">
        <w:t xml:space="preserve">Именно поэтому </w:t>
      </w:r>
      <w:r w:rsidR="00E07E9C">
        <w:rPr>
          <w:lang w:val="en-US"/>
        </w:rPr>
        <w:t>TFV</w:t>
      </w:r>
      <w:r w:rsidR="00B32311">
        <w:t xml:space="preserve"> вводят в состав лекарства</w:t>
      </w:r>
      <w:r w:rsidR="00B32311" w:rsidRPr="00B32311">
        <w:t xml:space="preserve"> </w:t>
      </w:r>
      <w:r w:rsidR="00B32311">
        <w:t>либо в виде</w:t>
      </w:r>
      <w:r w:rsidR="00C33325">
        <w:t xml:space="preserve"> нейтрального</w:t>
      </w:r>
      <w:r w:rsidR="00B32311">
        <w:t xml:space="preserve"> эфира </w:t>
      </w:r>
      <w:proofErr w:type="spellStart"/>
      <w:r w:rsidR="00B32311">
        <w:t>тенофовира</w:t>
      </w:r>
      <w:proofErr w:type="spellEnd"/>
      <w:r w:rsidR="00B32311">
        <w:t xml:space="preserve"> – </w:t>
      </w:r>
      <w:r w:rsidR="00B32311">
        <w:rPr>
          <w:lang w:val="en-US"/>
        </w:rPr>
        <w:t>TDF</w:t>
      </w:r>
      <w:r w:rsidR="00B32311">
        <w:t>, либо в виде</w:t>
      </w:r>
      <w:r w:rsidR="00C33325">
        <w:t xml:space="preserve"> нейтрального</w:t>
      </w:r>
      <w:r w:rsidR="00B32311">
        <w:t xml:space="preserve"> </w:t>
      </w:r>
      <w:proofErr w:type="spellStart"/>
      <w:r w:rsidR="00B32311">
        <w:t>амидата</w:t>
      </w:r>
      <w:proofErr w:type="spellEnd"/>
      <w:r w:rsidR="00B32311">
        <w:t xml:space="preserve"> </w:t>
      </w:r>
      <w:proofErr w:type="spellStart"/>
      <w:r w:rsidR="00B32311">
        <w:t>тенофовира</w:t>
      </w:r>
      <w:proofErr w:type="spellEnd"/>
      <w:r w:rsidR="00B32311">
        <w:t xml:space="preserve"> – </w:t>
      </w:r>
      <w:r w:rsidR="00B32311">
        <w:rPr>
          <w:lang w:val="en-US"/>
        </w:rPr>
        <w:t>TAF</w:t>
      </w:r>
      <w:r w:rsidR="00B32311">
        <w:t>. Так он легче проникает через</w:t>
      </w:r>
      <w:r w:rsidR="00C33325">
        <w:t xml:space="preserve"> мембраны клеток, соответственно через ЖКТ в плазму, а затем из плазмы в целевые, инфицированные ВИЧ клетки.</w:t>
      </w:r>
    </w:p>
    <w:p w:rsidR="00FE5163" w:rsidRDefault="004F2A05" w:rsidP="00516581">
      <w:r>
        <w:t xml:space="preserve">Т.к. </w:t>
      </w:r>
      <w:r w:rsidR="00873BF8">
        <w:rPr>
          <w:lang w:val="en-US"/>
        </w:rPr>
        <w:t>TDF</w:t>
      </w:r>
      <w:r w:rsidR="00873BF8">
        <w:t xml:space="preserve"> более чем </w:t>
      </w:r>
      <w:r w:rsidR="00873BF8">
        <w:rPr>
          <w:lang w:val="en-US"/>
        </w:rPr>
        <w:t>TAF</w:t>
      </w:r>
      <w:r w:rsidR="00873BF8" w:rsidRPr="00873BF8">
        <w:t xml:space="preserve"> </w:t>
      </w:r>
      <w:r w:rsidR="00873BF8">
        <w:t xml:space="preserve">подвержен расщеплению до </w:t>
      </w:r>
      <w:r w:rsidR="00873BF8">
        <w:rPr>
          <w:lang w:val="en-US"/>
        </w:rPr>
        <w:t>TFV</w:t>
      </w:r>
      <w:r w:rsidR="00873BF8">
        <w:t xml:space="preserve"> кишечными и плазменными</w:t>
      </w:r>
      <w:r w:rsidR="00873BF8" w:rsidRPr="00873BF8">
        <w:t xml:space="preserve"> </w:t>
      </w:r>
      <w:r w:rsidR="00873BF8">
        <w:t xml:space="preserve">ферментами – </w:t>
      </w:r>
      <w:proofErr w:type="spellStart"/>
      <w:r w:rsidR="00873BF8">
        <w:t>эстеразами</w:t>
      </w:r>
      <w:proofErr w:type="spellEnd"/>
      <w:r w:rsidR="00873BF8">
        <w:t xml:space="preserve">/гидролазами, то он </w:t>
      </w:r>
      <w:r>
        <w:t xml:space="preserve">имеет </w:t>
      </w:r>
      <w:r w:rsidR="00873BF8">
        <w:t xml:space="preserve">значительно более </w:t>
      </w:r>
      <w:r>
        <w:t>короткий период</w:t>
      </w:r>
      <w:r w:rsidR="00873BF8">
        <w:t xml:space="preserve"> полураспада до </w:t>
      </w:r>
      <w:r w:rsidR="00873BF8">
        <w:rPr>
          <w:lang w:val="en-US"/>
        </w:rPr>
        <w:t>TFV</w:t>
      </w:r>
      <w:r w:rsidR="00873BF8">
        <w:t xml:space="preserve"> (в плазме 0,4 минуты), чем </w:t>
      </w:r>
      <w:r w:rsidR="00873BF8">
        <w:rPr>
          <w:lang w:val="en-US"/>
        </w:rPr>
        <w:t>TAF</w:t>
      </w:r>
      <w:r w:rsidR="00873BF8" w:rsidRPr="00873BF8">
        <w:t xml:space="preserve"> </w:t>
      </w:r>
      <w:r w:rsidR="00873BF8">
        <w:t>(в плазме 90 минут). Следовательно,</w:t>
      </w:r>
      <w:r w:rsidR="00D8614F" w:rsidRPr="00D8614F">
        <w:t xml:space="preserve"> </w:t>
      </w:r>
      <w:r w:rsidR="00D8614F">
        <w:t xml:space="preserve">после принятия </w:t>
      </w:r>
      <w:r w:rsidR="00D8614F">
        <w:rPr>
          <w:lang w:val="en-US"/>
        </w:rPr>
        <w:t>TDF</w:t>
      </w:r>
      <w:r w:rsidR="00D8614F">
        <w:t xml:space="preserve"> </w:t>
      </w:r>
      <w:proofErr w:type="spellStart"/>
      <w:r w:rsidR="00A00140">
        <w:t>тенофовира</w:t>
      </w:r>
      <w:proofErr w:type="spellEnd"/>
      <w:r w:rsidR="00A00140">
        <w:t xml:space="preserve"> (</w:t>
      </w:r>
      <w:r w:rsidR="00D8614F">
        <w:rPr>
          <w:lang w:val="en-US"/>
        </w:rPr>
        <w:t>TFV</w:t>
      </w:r>
      <w:r w:rsidR="00A00140">
        <w:t>)</w:t>
      </w:r>
      <w:r w:rsidR="00D8614F">
        <w:t xml:space="preserve"> в плазме крови</w:t>
      </w:r>
      <w:r w:rsidR="00D8614F" w:rsidRPr="00D8614F">
        <w:t xml:space="preserve"> </w:t>
      </w:r>
      <w:r w:rsidR="00D8614F">
        <w:t xml:space="preserve">накапливается значительно больше, чем при приеме </w:t>
      </w:r>
      <w:r w:rsidR="00D8614F">
        <w:rPr>
          <w:lang w:val="en-US"/>
        </w:rPr>
        <w:t>TAF</w:t>
      </w:r>
      <w:r w:rsidR="00FE5163">
        <w:t xml:space="preserve"> по трем</w:t>
      </w:r>
      <w:r w:rsidR="00D8614F">
        <w:t xml:space="preserve"> причинам: </w:t>
      </w:r>
    </w:p>
    <w:p w:rsidR="00FE5163" w:rsidRDefault="00D8614F" w:rsidP="00516581">
      <w:r w:rsidRPr="00242621">
        <w:rPr>
          <w:b/>
        </w:rPr>
        <w:t>а)</w:t>
      </w:r>
      <w:r>
        <w:t xml:space="preserve"> большая подверженность расщеплению </w:t>
      </w:r>
      <w:r>
        <w:rPr>
          <w:lang w:val="en-US"/>
        </w:rPr>
        <w:t>TDF</w:t>
      </w:r>
      <w:r>
        <w:t xml:space="preserve"> </w:t>
      </w:r>
      <w:proofErr w:type="spellStart"/>
      <w:r>
        <w:t>эстеразами</w:t>
      </w:r>
      <w:proofErr w:type="spellEnd"/>
      <w:r>
        <w:t xml:space="preserve"> до </w:t>
      </w:r>
      <w:r>
        <w:rPr>
          <w:lang w:val="en-US"/>
        </w:rPr>
        <w:t>TFV</w:t>
      </w:r>
      <w:r w:rsidR="00D964AF" w:rsidRPr="00D964AF">
        <w:t xml:space="preserve"> </w:t>
      </w:r>
      <w:r w:rsidR="00D964AF">
        <w:t>в кишечнике и в плазме</w:t>
      </w:r>
      <w:r>
        <w:t xml:space="preserve">; </w:t>
      </w:r>
    </w:p>
    <w:p w:rsidR="00FE5163" w:rsidRDefault="00D964AF" w:rsidP="00516581">
      <w:r w:rsidRPr="00242621">
        <w:rPr>
          <w:b/>
        </w:rPr>
        <w:t>б)</w:t>
      </w:r>
      <w:r>
        <w:t xml:space="preserve"> меньшее, чем у </w:t>
      </w:r>
      <w:r>
        <w:rPr>
          <w:lang w:val="en-US"/>
        </w:rPr>
        <w:t>TAF</w:t>
      </w:r>
      <w:r w:rsidRPr="00D8614F">
        <w:t xml:space="preserve"> </w:t>
      </w:r>
      <w:r>
        <w:t xml:space="preserve">и </w:t>
      </w:r>
      <w:r>
        <w:rPr>
          <w:lang w:val="en-US"/>
        </w:rPr>
        <w:t>TDF</w:t>
      </w:r>
      <w:r>
        <w:t xml:space="preserve"> проникновение расщепленного/гидролизованного из </w:t>
      </w:r>
      <w:r>
        <w:rPr>
          <w:lang w:val="en-US"/>
        </w:rPr>
        <w:t>TDF</w:t>
      </w:r>
      <w:r>
        <w:t xml:space="preserve"> </w:t>
      </w:r>
      <w:proofErr w:type="spellStart"/>
      <w:r w:rsidRPr="00D964AF">
        <w:t>тенофовира</w:t>
      </w:r>
      <w:proofErr w:type="spellEnd"/>
      <w:r>
        <w:t xml:space="preserve"> (</w:t>
      </w:r>
      <w:r>
        <w:rPr>
          <w:lang w:val="en-US"/>
        </w:rPr>
        <w:t>TFV</w:t>
      </w:r>
      <w:r w:rsidRPr="00D964AF">
        <w:t>)</w:t>
      </w:r>
      <w:r w:rsidRPr="00D8614F">
        <w:t xml:space="preserve"> </w:t>
      </w:r>
      <w:r>
        <w:t xml:space="preserve">из кишечника в плазму; </w:t>
      </w:r>
    </w:p>
    <w:p w:rsidR="00FE5163" w:rsidRDefault="00D964AF" w:rsidP="00516581">
      <w:r w:rsidRPr="00242621">
        <w:rPr>
          <w:b/>
        </w:rPr>
        <w:t>в</w:t>
      </w:r>
      <w:r w:rsidR="00D8614F" w:rsidRPr="00242621">
        <w:rPr>
          <w:b/>
        </w:rPr>
        <w:t>)</w:t>
      </w:r>
      <w:r w:rsidR="00D8614F">
        <w:t xml:space="preserve"> меньшее, чем у </w:t>
      </w:r>
      <w:r w:rsidR="00D8614F">
        <w:rPr>
          <w:lang w:val="en-US"/>
        </w:rPr>
        <w:t>TAF</w:t>
      </w:r>
      <w:r w:rsidR="00D8614F" w:rsidRPr="00D8614F">
        <w:t xml:space="preserve"> </w:t>
      </w:r>
      <w:r w:rsidR="00D8614F">
        <w:t xml:space="preserve">и </w:t>
      </w:r>
      <w:r w:rsidR="00D8614F">
        <w:rPr>
          <w:lang w:val="en-US"/>
        </w:rPr>
        <w:t>TDF</w:t>
      </w:r>
      <w:r w:rsidR="00D8614F">
        <w:t xml:space="preserve"> проникновение расщепленного/гидролизованного из </w:t>
      </w:r>
      <w:r w:rsidR="00D8614F">
        <w:rPr>
          <w:lang w:val="en-US"/>
        </w:rPr>
        <w:t>TDF</w:t>
      </w:r>
      <w:r w:rsidR="00D8614F">
        <w:t xml:space="preserve"> </w:t>
      </w:r>
      <w:proofErr w:type="spellStart"/>
      <w:r>
        <w:t>тенофовира</w:t>
      </w:r>
      <w:proofErr w:type="spellEnd"/>
      <w:r>
        <w:t xml:space="preserve"> (</w:t>
      </w:r>
      <w:r w:rsidR="00D8614F">
        <w:rPr>
          <w:lang w:val="en-US"/>
        </w:rPr>
        <w:t>TFV</w:t>
      </w:r>
      <w:r>
        <w:t>) из плазмы</w:t>
      </w:r>
      <w:r w:rsidR="00D8614F" w:rsidRPr="00D8614F">
        <w:t xml:space="preserve"> </w:t>
      </w:r>
      <w:r w:rsidR="00D8614F">
        <w:t xml:space="preserve">в целевые клетки. </w:t>
      </w:r>
    </w:p>
    <w:p w:rsidR="00242621" w:rsidRDefault="00D8614F" w:rsidP="00516581">
      <w:r>
        <w:t xml:space="preserve">Таким образом в клетках </w:t>
      </w:r>
      <w:r>
        <w:rPr>
          <w:lang w:val="en-US"/>
        </w:rPr>
        <w:t>TAF</w:t>
      </w:r>
      <w:r w:rsidRPr="00D8614F">
        <w:t xml:space="preserve"> </w:t>
      </w:r>
      <w:r>
        <w:t xml:space="preserve">накапливается больше, чем </w:t>
      </w:r>
      <w:r>
        <w:rPr>
          <w:lang w:val="en-US"/>
        </w:rPr>
        <w:t>TFV</w:t>
      </w:r>
      <w:r w:rsidRPr="00D8614F">
        <w:t xml:space="preserve"> </w:t>
      </w:r>
      <w:r>
        <w:t xml:space="preserve">и </w:t>
      </w:r>
      <w:r>
        <w:rPr>
          <w:lang w:val="en-US"/>
        </w:rPr>
        <w:t>TDF</w:t>
      </w:r>
      <w:r w:rsidRPr="00D8614F">
        <w:t xml:space="preserve"> </w:t>
      </w:r>
      <w:r>
        <w:t xml:space="preserve">при приеме </w:t>
      </w:r>
      <w:r>
        <w:rPr>
          <w:lang w:val="en-US"/>
        </w:rPr>
        <w:t>TDF</w:t>
      </w:r>
      <w:r w:rsidRPr="00D8614F">
        <w:t>.</w:t>
      </w:r>
      <w:r w:rsidR="00D964AF" w:rsidRPr="00D964AF">
        <w:t xml:space="preserve"> </w:t>
      </w:r>
      <w:r w:rsidR="00D964AF">
        <w:t xml:space="preserve">В </w:t>
      </w:r>
      <w:r w:rsidR="00D964AF">
        <w:rPr>
          <w:lang w:val="en-US"/>
        </w:rPr>
        <w:t>TFV</w:t>
      </w:r>
      <w:r w:rsidR="00D964AF" w:rsidRPr="00D964AF">
        <w:t xml:space="preserve"> </w:t>
      </w:r>
      <w:r w:rsidR="00D964AF">
        <w:t xml:space="preserve">же </w:t>
      </w:r>
      <w:r w:rsidR="00D964AF">
        <w:rPr>
          <w:lang w:val="en-US"/>
        </w:rPr>
        <w:t>TAF</w:t>
      </w:r>
      <w:r w:rsidR="00D964AF" w:rsidRPr="00D964AF">
        <w:t xml:space="preserve"> </w:t>
      </w:r>
      <w:r w:rsidR="00D964AF">
        <w:t>превращается, в основном</w:t>
      </w:r>
      <w:r w:rsidR="00242621">
        <w:t>,</w:t>
      </w:r>
      <w:r w:rsidR="00D964AF">
        <w:t xml:space="preserve"> внутри клетки под воздействием фермента-гидролазы </w:t>
      </w:r>
      <w:proofErr w:type="spellStart"/>
      <w:r w:rsidR="00D964AF">
        <w:t>катепсина</w:t>
      </w:r>
      <w:proofErr w:type="spellEnd"/>
      <w:r w:rsidR="00D964AF">
        <w:t xml:space="preserve"> А (</w:t>
      </w:r>
      <w:r w:rsidR="00D964AF">
        <w:rPr>
          <w:lang w:val="en-US"/>
        </w:rPr>
        <w:t>Cat</w:t>
      </w:r>
      <w:r w:rsidR="00D964AF" w:rsidRPr="00D964AF">
        <w:t xml:space="preserve"> </w:t>
      </w:r>
      <w:r w:rsidR="00D964AF">
        <w:rPr>
          <w:lang w:val="en-US"/>
        </w:rPr>
        <w:t>A</w:t>
      </w:r>
      <w:r w:rsidR="00D964AF" w:rsidRPr="00D964AF">
        <w:t>)</w:t>
      </w:r>
      <w:r w:rsidR="00242621">
        <w:t xml:space="preserve">. Затем </w:t>
      </w:r>
      <w:r w:rsidR="00242621">
        <w:rPr>
          <w:lang w:val="en-US"/>
        </w:rPr>
        <w:t>TFV</w:t>
      </w:r>
      <w:r w:rsidR="00242621" w:rsidRPr="00242621">
        <w:t xml:space="preserve"> </w:t>
      </w:r>
      <w:r w:rsidR="00242621">
        <w:t xml:space="preserve">превращается в конечную активную форму – </w:t>
      </w:r>
      <w:proofErr w:type="spellStart"/>
      <w:r w:rsidR="00242621">
        <w:t>дифосфат</w:t>
      </w:r>
      <w:proofErr w:type="spellEnd"/>
      <w:r w:rsidR="00242621">
        <w:t xml:space="preserve"> </w:t>
      </w:r>
      <w:proofErr w:type="spellStart"/>
      <w:r w:rsidR="00242621">
        <w:t>тенофовира</w:t>
      </w:r>
      <w:proofErr w:type="spellEnd"/>
      <w:r w:rsidR="00242621">
        <w:t xml:space="preserve"> </w:t>
      </w:r>
      <w:r w:rsidR="00242621">
        <w:rPr>
          <w:lang w:val="en-US"/>
        </w:rPr>
        <w:t>TFV</w:t>
      </w:r>
      <w:r w:rsidR="00242621" w:rsidRPr="00242621">
        <w:t>-</w:t>
      </w:r>
      <w:r w:rsidR="00242621">
        <w:rPr>
          <w:lang w:val="en-US"/>
        </w:rPr>
        <w:t>DP</w:t>
      </w:r>
      <w:r w:rsidR="00242621">
        <w:t xml:space="preserve"> и уже в данном виде встраивается в растущую при обратной транскрипции цепь ДНК ВИЧ, блокируя тем самым ее синтез.</w:t>
      </w:r>
    </w:p>
    <w:p w:rsidR="00242621" w:rsidRDefault="00A60ECC" w:rsidP="00A60ECC">
      <w:pPr>
        <w:jc w:val="center"/>
      </w:pPr>
      <w:r>
        <w:rPr>
          <w:noProof/>
          <w:lang w:eastAsia="ru-RU"/>
        </w:rPr>
        <w:drawing>
          <wp:inline distT="0" distB="0" distL="0" distR="0" wp14:anchorId="31B9139E" wp14:editId="6A7117B1">
            <wp:extent cx="4154400" cy="2480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54400" cy="248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621" w:rsidRDefault="00242621" w:rsidP="00516581">
      <w:r>
        <w:lastRenderedPageBreak/>
        <w:t xml:space="preserve">Именно поэтому для достижения аналогичного эффекта с </w:t>
      </w:r>
      <w:r>
        <w:rPr>
          <w:lang w:val="en-US"/>
        </w:rPr>
        <w:t>TDF</w:t>
      </w:r>
      <w:r w:rsidRPr="00242621">
        <w:t xml:space="preserve"> </w:t>
      </w:r>
      <w:r>
        <w:rPr>
          <w:lang w:val="en-US"/>
        </w:rPr>
        <w:t>TAF</w:t>
      </w:r>
      <w:r w:rsidRPr="00242621">
        <w:t xml:space="preserve"> </w:t>
      </w:r>
      <w:r>
        <w:t xml:space="preserve">требуется в разы меньше </w:t>
      </w:r>
      <w:r w:rsidRPr="00242621">
        <w:t xml:space="preserve">(25 </w:t>
      </w:r>
      <w:r>
        <w:t xml:space="preserve">мг </w:t>
      </w:r>
      <w:r>
        <w:rPr>
          <w:lang w:val="en-US"/>
        </w:rPr>
        <w:t>TAF</w:t>
      </w:r>
      <w:r w:rsidRPr="00242621">
        <w:t xml:space="preserve"> </w:t>
      </w:r>
      <w:r>
        <w:t xml:space="preserve">супротив </w:t>
      </w:r>
      <w:r w:rsidRPr="00242621">
        <w:t>300</w:t>
      </w:r>
      <w:r>
        <w:t xml:space="preserve">мг </w:t>
      </w:r>
      <w:r>
        <w:rPr>
          <w:lang w:val="en-US"/>
        </w:rPr>
        <w:t>TDF</w:t>
      </w:r>
      <w:r>
        <w:t xml:space="preserve">. Значит, учитывая все вышенаписанное концентрации </w:t>
      </w:r>
      <w:r>
        <w:rPr>
          <w:lang w:val="en-US"/>
        </w:rPr>
        <w:t>TFV</w:t>
      </w:r>
      <w:r w:rsidRPr="00242621">
        <w:t xml:space="preserve"> </w:t>
      </w:r>
      <w:r>
        <w:t>в плазме</w:t>
      </w:r>
      <w:r w:rsidRPr="00242621">
        <w:t xml:space="preserve"> </w:t>
      </w:r>
      <w:r>
        <w:t xml:space="preserve">при приеме </w:t>
      </w:r>
      <w:r>
        <w:rPr>
          <w:lang w:val="en-US"/>
        </w:rPr>
        <w:t>TDF</w:t>
      </w:r>
      <w:r>
        <w:t xml:space="preserve"> будут несравненно выше, чем при приеме </w:t>
      </w:r>
      <w:r>
        <w:rPr>
          <w:lang w:val="en-US"/>
        </w:rPr>
        <w:t>T</w:t>
      </w:r>
      <w:r>
        <w:t>А</w:t>
      </w:r>
      <w:r>
        <w:rPr>
          <w:lang w:val="en-US"/>
        </w:rPr>
        <w:t>F</w:t>
      </w:r>
      <w:r>
        <w:t xml:space="preserve">. А учитывая, что вредное влияние на почки опосредуется как раз-таки выведением </w:t>
      </w:r>
      <w:proofErr w:type="spellStart"/>
      <w:r>
        <w:t>тенофовира</w:t>
      </w:r>
      <w:proofErr w:type="spellEnd"/>
      <w:r>
        <w:t xml:space="preserve"> (</w:t>
      </w:r>
      <w:r>
        <w:rPr>
          <w:lang w:val="en-US"/>
        </w:rPr>
        <w:t>TFV</w:t>
      </w:r>
      <w:r>
        <w:t xml:space="preserve">), то мы понимаем, что риски повреждений почек при приеме </w:t>
      </w:r>
      <w:r>
        <w:rPr>
          <w:lang w:val="en-US"/>
        </w:rPr>
        <w:t>TDF</w:t>
      </w:r>
      <w:r w:rsidRPr="00242621">
        <w:t xml:space="preserve"> </w:t>
      </w:r>
      <w:r>
        <w:t xml:space="preserve">должны быть больше, чем при приеме </w:t>
      </w:r>
      <w:r>
        <w:rPr>
          <w:lang w:val="en-US"/>
        </w:rPr>
        <w:t>TAF</w:t>
      </w:r>
      <w:r>
        <w:t>.</w:t>
      </w:r>
    </w:p>
    <w:p w:rsidR="00877F33" w:rsidRDefault="00A25C63" w:rsidP="00516581">
      <w:r>
        <w:t xml:space="preserve">Теперь нам с вами надо понять, как бустеры типа </w:t>
      </w:r>
      <w:proofErr w:type="spellStart"/>
      <w:r>
        <w:t>ритонавира</w:t>
      </w:r>
      <w:proofErr w:type="spellEnd"/>
      <w:r>
        <w:t xml:space="preserve"> </w:t>
      </w:r>
      <w:r w:rsidRPr="00A25C63">
        <w:t>(</w:t>
      </w:r>
      <w:r>
        <w:rPr>
          <w:lang w:val="en-US"/>
        </w:rPr>
        <w:t>RTV</w:t>
      </w:r>
      <w:r w:rsidRPr="00A25C63">
        <w:t xml:space="preserve">) </w:t>
      </w:r>
      <w:r>
        <w:t xml:space="preserve">и </w:t>
      </w:r>
      <w:proofErr w:type="spellStart"/>
      <w:r w:rsidRPr="00A25C63">
        <w:t>кобицистата</w:t>
      </w:r>
      <w:proofErr w:type="spellEnd"/>
      <w:r w:rsidRPr="00A25C63">
        <w:t xml:space="preserve"> (</w:t>
      </w:r>
      <w:r>
        <w:rPr>
          <w:lang w:val="en-US"/>
        </w:rPr>
        <w:t>COBI</w:t>
      </w:r>
      <w:r w:rsidRPr="00A25C63">
        <w:t>)</w:t>
      </w:r>
      <w:r>
        <w:t xml:space="preserve"> могут влиять на увеличение рисков почечных проблем у пациентов при приеме в схемах совместно с ними </w:t>
      </w:r>
      <w:r>
        <w:rPr>
          <w:lang w:val="en-US"/>
        </w:rPr>
        <w:t>TDF</w:t>
      </w:r>
      <w:r w:rsidRPr="00A25C63">
        <w:t>.</w:t>
      </w:r>
    </w:p>
    <w:p w:rsidR="00A25C63" w:rsidRDefault="00A25C63" w:rsidP="00516581">
      <w:r>
        <w:t xml:space="preserve">Если рассмотреть ряд исследований </w:t>
      </w:r>
      <w:r w:rsidRPr="00A25C63">
        <w:t>[1]</w:t>
      </w:r>
      <w:r>
        <w:t xml:space="preserve">, </w:t>
      </w:r>
      <w:r w:rsidRPr="00A25C63">
        <w:t>[2]</w:t>
      </w:r>
      <w:r>
        <w:t xml:space="preserve">, то становится ясно, что бустеры и ингибиторы протеазы значительно повышают экспозицию </w:t>
      </w:r>
      <w:r>
        <w:rPr>
          <w:lang w:val="en-US"/>
        </w:rPr>
        <w:t>TFV</w:t>
      </w:r>
      <w:r w:rsidRPr="00A25C63">
        <w:t xml:space="preserve"> </w:t>
      </w:r>
      <w:r>
        <w:t>в плазме.</w:t>
      </w:r>
    </w:p>
    <w:p w:rsidR="008B3C2A" w:rsidRDefault="008B3C2A" w:rsidP="008B3C2A">
      <w:pPr>
        <w:pStyle w:val="a3"/>
        <w:numPr>
          <w:ilvl w:val="0"/>
          <w:numId w:val="1"/>
        </w:numPr>
        <w:rPr>
          <w:lang w:val="en-US"/>
        </w:rPr>
      </w:pPr>
      <w:r w:rsidRPr="008B3C2A">
        <w:rPr>
          <w:lang w:val="en-US"/>
        </w:rPr>
        <w:t>«</w:t>
      </w:r>
      <w:proofErr w:type="spellStart"/>
      <w:r w:rsidRPr="008B3C2A">
        <w:rPr>
          <w:lang w:val="en-US"/>
        </w:rPr>
        <w:t>Coadministration</w:t>
      </w:r>
      <w:proofErr w:type="spellEnd"/>
      <w:r w:rsidRPr="008B3C2A">
        <w:rPr>
          <w:lang w:val="en-US"/>
        </w:rPr>
        <w:t xml:space="preserve"> with P-</w:t>
      </w:r>
      <w:proofErr w:type="spellStart"/>
      <w:r w:rsidRPr="008B3C2A">
        <w:rPr>
          <w:lang w:val="en-US"/>
        </w:rPr>
        <w:t>gp</w:t>
      </w:r>
      <w:proofErr w:type="spellEnd"/>
      <w:r w:rsidRPr="008B3C2A">
        <w:rPr>
          <w:lang w:val="en-US"/>
        </w:rPr>
        <w:t xml:space="preserve">/BCRP inhibitors such as </w:t>
      </w:r>
      <w:proofErr w:type="spellStart"/>
      <w:r w:rsidRPr="008B3C2A">
        <w:rPr>
          <w:lang w:val="en-US"/>
        </w:rPr>
        <w:t>cobicistat</w:t>
      </w:r>
      <w:proofErr w:type="spellEnd"/>
      <w:r w:rsidRPr="008B3C2A">
        <w:rPr>
          <w:lang w:val="en-US"/>
        </w:rPr>
        <w:t xml:space="preserve"> or PI-based regimens (ATV + RTV, LPV/r, or DRV + RTV) resulted in a range of 6%-183% increases in TAF and 105%-316% increases in TFV </w:t>
      </w:r>
      <w:proofErr w:type="gramStart"/>
      <w:r w:rsidRPr="008B3C2A">
        <w:rPr>
          <w:lang w:val="en-US"/>
        </w:rPr>
        <w:t>exposure.»</w:t>
      </w:r>
      <w:proofErr w:type="gramEnd"/>
    </w:p>
    <w:p w:rsidR="008B3C2A" w:rsidRDefault="008B3C2A" w:rsidP="008B3C2A">
      <w:pPr>
        <w:pStyle w:val="a3"/>
        <w:numPr>
          <w:ilvl w:val="0"/>
          <w:numId w:val="1"/>
        </w:numPr>
        <w:rPr>
          <w:lang w:val="en-US"/>
        </w:rPr>
      </w:pPr>
    </w:p>
    <w:p w:rsidR="008B3C2A" w:rsidRPr="008B3C2A" w:rsidRDefault="008B3C2A" w:rsidP="008B3C2A">
      <w:pPr>
        <w:ind w:left="36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970761B" wp14:editId="3C8C2AA9">
            <wp:extent cx="3470400" cy="1868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70400" cy="18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C63" w:rsidRDefault="00A25C63" w:rsidP="00516581">
      <w:r>
        <w:t xml:space="preserve">Происходит это за счет ингибирования ими </w:t>
      </w:r>
      <w:r>
        <w:rPr>
          <w:lang w:val="en-US"/>
        </w:rPr>
        <w:t>P</w:t>
      </w:r>
      <w:r w:rsidRPr="00A25C63">
        <w:t>-</w:t>
      </w:r>
      <w:r>
        <w:t>гликопротеина, который</w:t>
      </w:r>
      <w:r w:rsidR="002018A1">
        <w:t xml:space="preserve"> в качестве защиты от вторжения инородных молекул</w:t>
      </w:r>
      <w:r>
        <w:t xml:space="preserve"> призван </w:t>
      </w:r>
      <w:r w:rsidR="002018A1">
        <w:t>«</w:t>
      </w:r>
      <w:proofErr w:type="spellStart"/>
      <w:r w:rsidR="002018A1">
        <w:t>выпинывать</w:t>
      </w:r>
      <w:proofErr w:type="spellEnd"/>
      <w:r w:rsidR="002018A1">
        <w:t xml:space="preserve">» незнакомцев из стенок кишечника обратно в просвет. Следовательно, ингибируя его, мы увеличиваем </w:t>
      </w:r>
      <w:proofErr w:type="spellStart"/>
      <w:r w:rsidR="002018A1">
        <w:t>биодоступность</w:t>
      </w:r>
      <w:proofErr w:type="spellEnd"/>
      <w:r w:rsidR="002018A1">
        <w:t xml:space="preserve"> лекарства </w:t>
      </w:r>
      <w:proofErr w:type="gramStart"/>
      <w:r w:rsidR="002018A1">
        <w:t>и следовательно</w:t>
      </w:r>
      <w:proofErr w:type="gramEnd"/>
      <w:r w:rsidR="002018A1">
        <w:t xml:space="preserve"> его концентрацию в плазме.</w:t>
      </w:r>
    </w:p>
    <w:p w:rsidR="002018A1" w:rsidRDefault="002018A1" w:rsidP="00516581">
      <w:pPr>
        <w:rPr>
          <w:lang w:val="en-US"/>
        </w:rPr>
      </w:pPr>
      <w:r>
        <w:t>Также ряд ингибиторов протеазы</w:t>
      </w:r>
      <w:r w:rsidR="008B3C2A">
        <w:t>,</w:t>
      </w:r>
      <w:r>
        <w:t xml:space="preserve"> и </w:t>
      </w:r>
      <w:proofErr w:type="spellStart"/>
      <w:r>
        <w:t>ритонавир</w:t>
      </w:r>
      <w:proofErr w:type="spellEnd"/>
      <w:r w:rsidR="008B3C2A">
        <w:t xml:space="preserve"> в том числе,</w:t>
      </w:r>
      <w:r>
        <w:t xml:space="preserve"> ингибируют кишечные </w:t>
      </w:r>
      <w:proofErr w:type="spellStart"/>
      <w:r>
        <w:t>эстеразы</w:t>
      </w:r>
      <w:proofErr w:type="spellEnd"/>
      <w:r>
        <w:t xml:space="preserve"> и тем самым снижают превращение </w:t>
      </w:r>
      <w:r>
        <w:rPr>
          <w:lang w:val="en-US"/>
        </w:rPr>
        <w:t>TDF</w:t>
      </w:r>
      <w:r w:rsidRPr="002018A1">
        <w:t xml:space="preserve"> </w:t>
      </w:r>
      <w:r>
        <w:t xml:space="preserve">(и </w:t>
      </w:r>
      <w:r>
        <w:rPr>
          <w:lang w:val="en-US"/>
        </w:rPr>
        <w:t>TAF</w:t>
      </w:r>
      <w:r w:rsidRPr="002018A1">
        <w:t xml:space="preserve"> </w:t>
      </w:r>
      <w:r>
        <w:t xml:space="preserve">в меньшей степени) в </w:t>
      </w:r>
      <w:r>
        <w:rPr>
          <w:lang w:val="en-US"/>
        </w:rPr>
        <w:t>TFV</w:t>
      </w:r>
      <w:r w:rsidRPr="002018A1">
        <w:t xml:space="preserve"> </w:t>
      </w:r>
      <w:r>
        <w:t>в просвете кишечника. Следовательно,</w:t>
      </w:r>
      <w:r w:rsidR="00AC0011">
        <w:t xml:space="preserve"> в просвете остается больше нерасщепленного</w:t>
      </w:r>
      <w:r>
        <w:t xml:space="preserve"> </w:t>
      </w:r>
      <w:r>
        <w:rPr>
          <w:lang w:val="en-US"/>
        </w:rPr>
        <w:t>TDF</w:t>
      </w:r>
      <w:r w:rsidR="00AC0011">
        <w:t>, который</w:t>
      </w:r>
      <w:r w:rsidRPr="00AC0011">
        <w:t xml:space="preserve"> </w:t>
      </w:r>
      <w:r w:rsidR="00AC0011">
        <w:t xml:space="preserve">через стенки кишечника легче проскакивает в плазму, чем </w:t>
      </w:r>
      <w:r w:rsidR="00AC0011">
        <w:rPr>
          <w:lang w:val="en-US"/>
        </w:rPr>
        <w:t>TFV</w:t>
      </w:r>
      <w:r w:rsidR="00AC0011" w:rsidRPr="00AC0011">
        <w:t xml:space="preserve">. </w:t>
      </w:r>
      <w:r w:rsidR="00F7160E">
        <w:t>Следо</w:t>
      </w:r>
      <w:r w:rsidR="00AC0011">
        <w:t xml:space="preserve">вательно, данный аспект также способствует росту плазменной концентрации </w:t>
      </w:r>
      <w:r w:rsidR="00AC0011">
        <w:rPr>
          <w:lang w:val="en-US"/>
        </w:rPr>
        <w:t>TFV.</w:t>
      </w:r>
    </w:p>
    <w:p w:rsidR="00AC0011" w:rsidRPr="00AC0011" w:rsidRDefault="00AC0011" w:rsidP="00AC001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17600" cy="279000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600" cy="27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AB9" w:rsidRPr="00E76AB9" w:rsidRDefault="00E76AB9" w:rsidP="00516581">
      <w:pPr>
        <w:rPr>
          <w:b/>
        </w:rPr>
      </w:pPr>
      <w:r w:rsidRPr="00E76AB9">
        <w:rPr>
          <w:b/>
        </w:rPr>
        <w:t xml:space="preserve">Вывод: </w:t>
      </w:r>
    </w:p>
    <w:p w:rsidR="00516581" w:rsidRDefault="00E76AB9" w:rsidP="00516581">
      <w:r>
        <w:lastRenderedPageBreak/>
        <w:t xml:space="preserve">значит, можно заключить, что увеличение рисков возникновения проблем с почками при приеме </w:t>
      </w:r>
      <w:r>
        <w:rPr>
          <w:lang w:val="en-US"/>
        </w:rPr>
        <w:t>TDF</w:t>
      </w:r>
      <w:r w:rsidRPr="00E76AB9">
        <w:t xml:space="preserve"> </w:t>
      </w:r>
      <w:r>
        <w:t>в схеме с бустерами и ИП, по сравнению</w:t>
      </w:r>
      <w:r w:rsidR="004F2A05">
        <w:t xml:space="preserve"> </w:t>
      </w:r>
      <w:r>
        <w:t xml:space="preserve">с </w:t>
      </w:r>
      <w:proofErr w:type="spellStart"/>
      <w:r>
        <w:t>бустированным</w:t>
      </w:r>
      <w:proofErr w:type="spellEnd"/>
      <w:r>
        <w:t xml:space="preserve"> приемом </w:t>
      </w:r>
      <w:r>
        <w:rPr>
          <w:lang w:val="en-US"/>
        </w:rPr>
        <w:t>TAF</w:t>
      </w:r>
      <w:r>
        <w:t xml:space="preserve">, вызывается увеличением до некой пороговой </w:t>
      </w:r>
      <w:proofErr w:type="spellStart"/>
      <w:r>
        <w:t>концентрациии</w:t>
      </w:r>
      <w:proofErr w:type="spellEnd"/>
      <w:r>
        <w:t xml:space="preserve"> и без того высокой концентрации </w:t>
      </w:r>
      <w:r>
        <w:rPr>
          <w:lang w:val="en-US"/>
        </w:rPr>
        <w:t>TFV</w:t>
      </w:r>
      <w:r>
        <w:t>, при которой</w:t>
      </w:r>
      <w:r w:rsidRPr="00E76AB9">
        <w:t xml:space="preserve"> </w:t>
      </w:r>
      <w:r>
        <w:t xml:space="preserve">увеличиваются риски повреждения почек. Также вспомним, что при приеме </w:t>
      </w:r>
      <w:r>
        <w:rPr>
          <w:lang w:val="en-US"/>
        </w:rPr>
        <w:t>TAF</w:t>
      </w:r>
      <w:r w:rsidRPr="00E76AB9">
        <w:t xml:space="preserve"> </w:t>
      </w:r>
      <w:r>
        <w:t xml:space="preserve">с бустерами доза </w:t>
      </w:r>
      <w:r>
        <w:rPr>
          <w:lang w:val="en-US"/>
        </w:rPr>
        <w:t>TAF</w:t>
      </w:r>
      <w:r w:rsidRPr="00E76AB9">
        <w:t xml:space="preserve"> </w:t>
      </w:r>
      <w:r>
        <w:t xml:space="preserve">уменьшается с 25мг до 10 мг, в отличие от остающейся без изменения дозы в 300мг </w:t>
      </w:r>
      <w:r>
        <w:rPr>
          <w:lang w:val="en-US"/>
        </w:rPr>
        <w:t>TDF</w:t>
      </w:r>
      <w:r w:rsidR="00D55F08">
        <w:t xml:space="preserve"> при приеме с бустерами</w:t>
      </w:r>
      <w:r>
        <w:t>.</w:t>
      </w:r>
      <w:bookmarkStart w:id="0" w:name="_GoBack"/>
      <w:bookmarkEnd w:id="0"/>
    </w:p>
    <w:p w:rsidR="00274292" w:rsidRPr="007575BC" w:rsidRDefault="00274292" w:rsidP="00516581">
      <w:pPr>
        <w:rPr>
          <w:b/>
        </w:rPr>
      </w:pPr>
      <w:r w:rsidRPr="007575BC">
        <w:rPr>
          <w:b/>
        </w:rPr>
        <w:t>Ссылки на источники:</w:t>
      </w:r>
    </w:p>
    <w:p w:rsidR="00274292" w:rsidRPr="00D55F08" w:rsidRDefault="00274292" w:rsidP="00274292">
      <w:pPr>
        <w:rPr>
          <w:rFonts w:ascii="Calibri" w:eastAsia="Times New Roman" w:hAnsi="Calibri" w:cs="Calibri"/>
          <w:lang w:val="en-US" w:eastAsia="ru-RU"/>
        </w:rPr>
      </w:pPr>
      <w:r w:rsidRPr="00D55F08">
        <w:t xml:space="preserve">[1]. </w:t>
      </w:r>
      <w:r w:rsidRPr="00274292">
        <w:rPr>
          <w:rFonts w:ascii="Calibri" w:eastAsia="Times New Roman" w:hAnsi="Calibri" w:cs="Calibri"/>
          <w:lang w:val="en-US" w:eastAsia="ru-RU"/>
        </w:rPr>
        <w:t>Begley</w:t>
      </w:r>
      <w:r w:rsidRPr="00D55F08">
        <w:rPr>
          <w:rFonts w:ascii="Calibri" w:eastAsia="Times New Roman" w:hAnsi="Calibri" w:cs="Calibri"/>
          <w:lang w:eastAsia="ru-RU"/>
        </w:rPr>
        <w:t xml:space="preserve"> </w:t>
      </w:r>
      <w:r w:rsidRPr="00274292">
        <w:rPr>
          <w:rFonts w:ascii="Calibri" w:eastAsia="Times New Roman" w:hAnsi="Calibri" w:cs="Calibri"/>
          <w:lang w:val="en-US" w:eastAsia="ru-RU"/>
        </w:rPr>
        <w:t>R</w:t>
      </w:r>
      <w:r w:rsidRPr="00D55F08">
        <w:rPr>
          <w:rFonts w:ascii="Calibri" w:eastAsia="Times New Roman" w:hAnsi="Calibri" w:cs="Calibri"/>
          <w:lang w:eastAsia="ru-RU"/>
        </w:rPr>
        <w:t xml:space="preserve">, </w:t>
      </w:r>
      <w:r w:rsidRPr="00274292">
        <w:rPr>
          <w:rFonts w:ascii="Calibri" w:eastAsia="Times New Roman" w:hAnsi="Calibri" w:cs="Calibri"/>
          <w:lang w:val="en-US" w:eastAsia="ru-RU"/>
        </w:rPr>
        <w:t>Das</w:t>
      </w:r>
      <w:r w:rsidRPr="00D55F08">
        <w:rPr>
          <w:rFonts w:ascii="Calibri" w:eastAsia="Times New Roman" w:hAnsi="Calibri" w:cs="Calibri"/>
          <w:lang w:eastAsia="ru-RU"/>
        </w:rPr>
        <w:t xml:space="preserve"> </w:t>
      </w:r>
      <w:r w:rsidRPr="00274292">
        <w:rPr>
          <w:rFonts w:ascii="Calibri" w:eastAsia="Times New Roman" w:hAnsi="Calibri" w:cs="Calibri"/>
          <w:lang w:val="en-US" w:eastAsia="ru-RU"/>
        </w:rPr>
        <w:t>M</w:t>
      </w:r>
      <w:r w:rsidRPr="00D55F08">
        <w:rPr>
          <w:rFonts w:ascii="Calibri" w:eastAsia="Times New Roman" w:hAnsi="Calibri" w:cs="Calibri"/>
          <w:lang w:eastAsia="ru-RU"/>
        </w:rPr>
        <w:t xml:space="preserve">, </w:t>
      </w:r>
      <w:proofErr w:type="spellStart"/>
      <w:r w:rsidRPr="00274292">
        <w:rPr>
          <w:rFonts w:ascii="Calibri" w:eastAsia="Times New Roman" w:hAnsi="Calibri" w:cs="Calibri"/>
          <w:lang w:val="en-US" w:eastAsia="ru-RU"/>
        </w:rPr>
        <w:t>Zhong</w:t>
      </w:r>
      <w:proofErr w:type="spellEnd"/>
      <w:r w:rsidRPr="00D55F08">
        <w:rPr>
          <w:rFonts w:ascii="Calibri" w:eastAsia="Times New Roman" w:hAnsi="Calibri" w:cs="Calibri"/>
          <w:lang w:eastAsia="ru-RU"/>
        </w:rPr>
        <w:t xml:space="preserve"> </w:t>
      </w:r>
      <w:r w:rsidRPr="00274292">
        <w:rPr>
          <w:rFonts w:ascii="Calibri" w:eastAsia="Times New Roman" w:hAnsi="Calibri" w:cs="Calibri"/>
          <w:lang w:val="en-US" w:eastAsia="ru-RU"/>
        </w:rPr>
        <w:t>L</w:t>
      </w:r>
      <w:r w:rsidRPr="00D55F08">
        <w:rPr>
          <w:rFonts w:ascii="Calibri" w:eastAsia="Times New Roman" w:hAnsi="Calibri" w:cs="Calibri"/>
          <w:lang w:eastAsia="ru-RU"/>
        </w:rPr>
        <w:t xml:space="preserve">, </w:t>
      </w:r>
      <w:r w:rsidRPr="00274292">
        <w:rPr>
          <w:rFonts w:ascii="Calibri" w:eastAsia="Times New Roman" w:hAnsi="Calibri" w:cs="Calibri"/>
          <w:lang w:val="en-US" w:eastAsia="ru-RU"/>
        </w:rPr>
        <w:t>Ling</w:t>
      </w:r>
      <w:r w:rsidRPr="00D55F08">
        <w:rPr>
          <w:rFonts w:ascii="Calibri" w:eastAsia="Times New Roman" w:hAnsi="Calibri" w:cs="Calibri"/>
          <w:lang w:eastAsia="ru-RU"/>
        </w:rPr>
        <w:t xml:space="preserve"> </w:t>
      </w:r>
      <w:r w:rsidRPr="00274292">
        <w:rPr>
          <w:rFonts w:ascii="Calibri" w:eastAsia="Times New Roman" w:hAnsi="Calibri" w:cs="Calibri"/>
          <w:lang w:val="en-US" w:eastAsia="ru-RU"/>
        </w:rPr>
        <w:t>J</w:t>
      </w:r>
      <w:r w:rsidRPr="00D55F08">
        <w:rPr>
          <w:rFonts w:ascii="Calibri" w:eastAsia="Times New Roman" w:hAnsi="Calibri" w:cs="Calibri"/>
          <w:lang w:eastAsia="ru-RU"/>
        </w:rPr>
        <w:t xml:space="preserve">, </w:t>
      </w:r>
      <w:r w:rsidRPr="00274292">
        <w:rPr>
          <w:rFonts w:ascii="Calibri" w:eastAsia="Times New Roman" w:hAnsi="Calibri" w:cs="Calibri"/>
          <w:lang w:val="en-US" w:eastAsia="ru-RU"/>
        </w:rPr>
        <w:t>Kearney</w:t>
      </w:r>
      <w:r w:rsidRPr="00D55F08">
        <w:rPr>
          <w:rFonts w:ascii="Calibri" w:eastAsia="Times New Roman" w:hAnsi="Calibri" w:cs="Calibri"/>
          <w:lang w:eastAsia="ru-RU"/>
        </w:rPr>
        <w:t xml:space="preserve"> </w:t>
      </w:r>
      <w:r w:rsidRPr="00274292">
        <w:rPr>
          <w:rFonts w:ascii="Calibri" w:eastAsia="Times New Roman" w:hAnsi="Calibri" w:cs="Calibri"/>
          <w:lang w:val="en-US" w:eastAsia="ru-RU"/>
        </w:rPr>
        <w:t>BP</w:t>
      </w:r>
      <w:r w:rsidRPr="00D55F08">
        <w:rPr>
          <w:rFonts w:ascii="Calibri" w:eastAsia="Times New Roman" w:hAnsi="Calibri" w:cs="Calibri"/>
          <w:lang w:eastAsia="ru-RU"/>
        </w:rPr>
        <w:t xml:space="preserve">, </w:t>
      </w:r>
      <w:proofErr w:type="spellStart"/>
      <w:r w:rsidRPr="00274292">
        <w:rPr>
          <w:rFonts w:ascii="Calibri" w:eastAsia="Times New Roman" w:hAnsi="Calibri" w:cs="Calibri"/>
          <w:lang w:val="en-US" w:eastAsia="ru-RU"/>
        </w:rPr>
        <w:t>Custodio</w:t>
      </w:r>
      <w:proofErr w:type="spellEnd"/>
      <w:r w:rsidRPr="00D55F08">
        <w:rPr>
          <w:rFonts w:ascii="Calibri" w:eastAsia="Times New Roman" w:hAnsi="Calibri" w:cs="Calibri"/>
          <w:lang w:eastAsia="ru-RU"/>
        </w:rPr>
        <w:t xml:space="preserve"> </w:t>
      </w:r>
      <w:r w:rsidRPr="00274292">
        <w:rPr>
          <w:rFonts w:ascii="Calibri" w:eastAsia="Times New Roman" w:hAnsi="Calibri" w:cs="Calibri"/>
          <w:lang w:val="en-US" w:eastAsia="ru-RU"/>
        </w:rPr>
        <w:t>JM</w:t>
      </w:r>
      <w:r w:rsidRPr="00D55F08">
        <w:rPr>
          <w:rFonts w:ascii="Calibri" w:eastAsia="Times New Roman" w:hAnsi="Calibri" w:cs="Calibri"/>
          <w:lang w:eastAsia="ru-RU"/>
        </w:rPr>
        <w:t xml:space="preserve">. </w:t>
      </w:r>
      <w:r w:rsidRPr="00274292">
        <w:rPr>
          <w:rFonts w:ascii="Calibri" w:eastAsia="Times New Roman" w:hAnsi="Calibri" w:cs="Calibri"/>
          <w:lang w:val="en-US" w:eastAsia="ru-RU"/>
        </w:rPr>
        <w:t xml:space="preserve">Pharmacokinetics of </w:t>
      </w:r>
      <w:proofErr w:type="spellStart"/>
      <w:r w:rsidRPr="00274292">
        <w:rPr>
          <w:rFonts w:ascii="Calibri" w:eastAsia="Times New Roman" w:hAnsi="Calibri" w:cs="Calibri"/>
          <w:lang w:val="en-US" w:eastAsia="ru-RU"/>
        </w:rPr>
        <w:t>Tenofovir</w:t>
      </w:r>
      <w:proofErr w:type="spellEnd"/>
      <w:r w:rsidRPr="00274292">
        <w:rPr>
          <w:rFonts w:ascii="Calibri" w:eastAsia="Times New Roman" w:hAnsi="Calibri" w:cs="Calibri"/>
          <w:lang w:val="en-US" w:eastAsia="ru-RU"/>
        </w:rPr>
        <w:t xml:space="preserve"> </w:t>
      </w:r>
      <w:proofErr w:type="spellStart"/>
      <w:r w:rsidRPr="00274292">
        <w:rPr>
          <w:rFonts w:ascii="Calibri" w:eastAsia="Times New Roman" w:hAnsi="Calibri" w:cs="Calibri"/>
          <w:lang w:val="en-US" w:eastAsia="ru-RU"/>
        </w:rPr>
        <w:t>Alafenamide</w:t>
      </w:r>
      <w:proofErr w:type="spellEnd"/>
      <w:r w:rsidRPr="00274292">
        <w:rPr>
          <w:rFonts w:ascii="Calibri" w:eastAsia="Times New Roman" w:hAnsi="Calibri" w:cs="Calibri"/>
          <w:lang w:val="en-US" w:eastAsia="ru-RU"/>
        </w:rPr>
        <w:t xml:space="preserve"> When </w:t>
      </w:r>
      <w:proofErr w:type="spellStart"/>
      <w:r w:rsidRPr="00274292">
        <w:rPr>
          <w:rFonts w:ascii="Calibri" w:eastAsia="Times New Roman" w:hAnsi="Calibri" w:cs="Calibri"/>
          <w:lang w:val="en-US" w:eastAsia="ru-RU"/>
        </w:rPr>
        <w:t>Coadministered</w:t>
      </w:r>
      <w:proofErr w:type="spellEnd"/>
      <w:r w:rsidRPr="00274292">
        <w:rPr>
          <w:rFonts w:ascii="Calibri" w:eastAsia="Times New Roman" w:hAnsi="Calibri" w:cs="Calibri"/>
          <w:lang w:val="en-US" w:eastAsia="ru-RU"/>
        </w:rPr>
        <w:t xml:space="preserve"> </w:t>
      </w:r>
      <w:proofErr w:type="gramStart"/>
      <w:r w:rsidRPr="00274292">
        <w:rPr>
          <w:rFonts w:ascii="Calibri" w:eastAsia="Times New Roman" w:hAnsi="Calibri" w:cs="Calibri"/>
          <w:lang w:val="en-US" w:eastAsia="ru-RU"/>
        </w:rPr>
        <w:t>With</w:t>
      </w:r>
      <w:proofErr w:type="gramEnd"/>
      <w:r w:rsidRPr="00274292">
        <w:rPr>
          <w:rFonts w:ascii="Calibri" w:eastAsia="Times New Roman" w:hAnsi="Calibri" w:cs="Calibri"/>
          <w:lang w:val="en-US" w:eastAsia="ru-RU"/>
        </w:rPr>
        <w:t xml:space="preserve"> Other HIV </w:t>
      </w:r>
      <w:proofErr w:type="spellStart"/>
      <w:r w:rsidRPr="00274292">
        <w:rPr>
          <w:rFonts w:ascii="Calibri" w:eastAsia="Times New Roman" w:hAnsi="Calibri" w:cs="Calibri"/>
          <w:lang w:val="en-US" w:eastAsia="ru-RU"/>
        </w:rPr>
        <w:t>Antiretrovirals</w:t>
      </w:r>
      <w:proofErr w:type="spellEnd"/>
      <w:r w:rsidRPr="00274292">
        <w:rPr>
          <w:rFonts w:ascii="Calibri" w:eastAsia="Times New Roman" w:hAnsi="Calibri" w:cs="Calibri"/>
          <w:lang w:val="en-US" w:eastAsia="ru-RU"/>
        </w:rPr>
        <w:t xml:space="preserve">. </w:t>
      </w:r>
      <w:r w:rsidRPr="00D55F08">
        <w:rPr>
          <w:rFonts w:ascii="Calibri" w:eastAsia="Times New Roman" w:hAnsi="Calibri" w:cs="Calibri"/>
          <w:lang w:val="en-US" w:eastAsia="ru-RU"/>
        </w:rPr>
        <w:t xml:space="preserve">J </w:t>
      </w:r>
      <w:proofErr w:type="spellStart"/>
      <w:r w:rsidRPr="00D55F08">
        <w:rPr>
          <w:rFonts w:ascii="Calibri" w:eastAsia="Times New Roman" w:hAnsi="Calibri" w:cs="Calibri"/>
          <w:lang w:val="en-US" w:eastAsia="ru-RU"/>
        </w:rPr>
        <w:t>Acquir</w:t>
      </w:r>
      <w:proofErr w:type="spellEnd"/>
      <w:r w:rsidRPr="00D55F08">
        <w:rPr>
          <w:rFonts w:ascii="Calibri" w:eastAsia="Times New Roman" w:hAnsi="Calibri" w:cs="Calibri"/>
          <w:lang w:val="en-US" w:eastAsia="ru-RU"/>
        </w:rPr>
        <w:t xml:space="preserve"> Immune </w:t>
      </w:r>
      <w:proofErr w:type="spellStart"/>
      <w:r w:rsidRPr="00D55F08">
        <w:rPr>
          <w:rFonts w:ascii="Calibri" w:eastAsia="Times New Roman" w:hAnsi="Calibri" w:cs="Calibri"/>
          <w:lang w:val="en-US" w:eastAsia="ru-RU"/>
        </w:rPr>
        <w:t>Defic</w:t>
      </w:r>
      <w:proofErr w:type="spellEnd"/>
      <w:r w:rsidRPr="00D55F08">
        <w:rPr>
          <w:rFonts w:ascii="Calibri" w:eastAsia="Times New Roman" w:hAnsi="Calibri" w:cs="Calibri"/>
          <w:lang w:val="en-US" w:eastAsia="ru-RU"/>
        </w:rPr>
        <w:t xml:space="preserve"> </w:t>
      </w:r>
      <w:proofErr w:type="spellStart"/>
      <w:r w:rsidRPr="00D55F08">
        <w:rPr>
          <w:rFonts w:ascii="Calibri" w:eastAsia="Times New Roman" w:hAnsi="Calibri" w:cs="Calibri"/>
          <w:lang w:val="en-US" w:eastAsia="ru-RU"/>
        </w:rPr>
        <w:t>Syndr</w:t>
      </w:r>
      <w:proofErr w:type="spellEnd"/>
      <w:r w:rsidRPr="00D55F08">
        <w:rPr>
          <w:rFonts w:ascii="Calibri" w:eastAsia="Times New Roman" w:hAnsi="Calibri" w:cs="Calibri"/>
          <w:lang w:val="en-US" w:eastAsia="ru-RU"/>
        </w:rPr>
        <w:t xml:space="preserve">. 2018 Aug 1;78(4):465-472. </w:t>
      </w:r>
      <w:proofErr w:type="spellStart"/>
      <w:r w:rsidRPr="00D55F08">
        <w:rPr>
          <w:rFonts w:ascii="Calibri" w:eastAsia="Times New Roman" w:hAnsi="Calibri" w:cs="Calibri"/>
          <w:lang w:val="en-US" w:eastAsia="ru-RU"/>
        </w:rPr>
        <w:t>doi</w:t>
      </w:r>
      <w:proofErr w:type="spellEnd"/>
      <w:r w:rsidRPr="00D55F08">
        <w:rPr>
          <w:rFonts w:ascii="Calibri" w:eastAsia="Times New Roman" w:hAnsi="Calibri" w:cs="Calibri"/>
          <w:lang w:val="en-US" w:eastAsia="ru-RU"/>
        </w:rPr>
        <w:t>: 10.1097/QAI.0000000000001699. PMID: 29649076.</w:t>
      </w:r>
    </w:p>
    <w:p w:rsidR="00274292" w:rsidRDefault="00274292" w:rsidP="00274292">
      <w:pPr>
        <w:rPr>
          <w:lang w:val="en-US"/>
        </w:rPr>
      </w:pPr>
      <w:r w:rsidRPr="00274292">
        <w:rPr>
          <w:rFonts w:ascii="Calibri" w:eastAsia="Times New Roman" w:hAnsi="Calibri" w:cs="Calibri"/>
          <w:lang w:val="en-US" w:eastAsia="ru-RU"/>
        </w:rPr>
        <w:t>[2].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74292">
        <w:rPr>
          <w:lang w:val="en-US"/>
        </w:rPr>
        <w:t xml:space="preserve">Tong L, Phan TK, Robinson KL, </w:t>
      </w:r>
      <w:proofErr w:type="spellStart"/>
      <w:r w:rsidRPr="00274292">
        <w:rPr>
          <w:lang w:val="en-US"/>
        </w:rPr>
        <w:t>Babusis</w:t>
      </w:r>
      <w:proofErr w:type="spellEnd"/>
      <w:r w:rsidRPr="00274292">
        <w:rPr>
          <w:lang w:val="en-US"/>
        </w:rPr>
        <w:t xml:space="preserve"> D, </w:t>
      </w:r>
      <w:proofErr w:type="spellStart"/>
      <w:r w:rsidRPr="00274292">
        <w:rPr>
          <w:lang w:val="en-US"/>
        </w:rPr>
        <w:t>Strab</w:t>
      </w:r>
      <w:proofErr w:type="spellEnd"/>
      <w:r w:rsidRPr="00274292">
        <w:rPr>
          <w:lang w:val="en-US"/>
        </w:rPr>
        <w:t xml:space="preserve"> R, </w:t>
      </w:r>
      <w:proofErr w:type="spellStart"/>
      <w:r w:rsidRPr="00274292">
        <w:rPr>
          <w:lang w:val="en-US"/>
        </w:rPr>
        <w:t>Bhoopathy</w:t>
      </w:r>
      <w:proofErr w:type="spellEnd"/>
      <w:r w:rsidRPr="00274292">
        <w:rPr>
          <w:lang w:val="en-US"/>
        </w:rPr>
        <w:t xml:space="preserve"> S, Hidalgo IJ, Rhodes GR, Ray AS. Effects of human immunodeficiency virus protease inhibitors on the intestinal absorption of </w:t>
      </w:r>
      <w:proofErr w:type="spellStart"/>
      <w:r w:rsidRPr="00274292">
        <w:rPr>
          <w:lang w:val="en-US"/>
        </w:rPr>
        <w:t>tenofovir</w:t>
      </w:r>
      <w:proofErr w:type="spellEnd"/>
      <w:r w:rsidRPr="00274292">
        <w:rPr>
          <w:lang w:val="en-US"/>
        </w:rPr>
        <w:t xml:space="preserve"> </w:t>
      </w:r>
      <w:proofErr w:type="spellStart"/>
      <w:r w:rsidRPr="00274292">
        <w:rPr>
          <w:lang w:val="en-US"/>
        </w:rPr>
        <w:t>disoproxil</w:t>
      </w:r>
      <w:proofErr w:type="spellEnd"/>
      <w:r w:rsidRPr="00274292">
        <w:rPr>
          <w:lang w:val="en-US"/>
        </w:rPr>
        <w:t xml:space="preserve"> fumarate in vitro. </w:t>
      </w:r>
      <w:proofErr w:type="spellStart"/>
      <w:r w:rsidRPr="00274292">
        <w:rPr>
          <w:lang w:val="en-US"/>
        </w:rPr>
        <w:t>Antimicrob</w:t>
      </w:r>
      <w:proofErr w:type="spellEnd"/>
      <w:r w:rsidRPr="00274292">
        <w:rPr>
          <w:lang w:val="en-US"/>
        </w:rPr>
        <w:t xml:space="preserve"> Agents </w:t>
      </w:r>
      <w:proofErr w:type="spellStart"/>
      <w:r w:rsidRPr="00274292">
        <w:rPr>
          <w:lang w:val="en-US"/>
        </w:rPr>
        <w:t>Chemother</w:t>
      </w:r>
      <w:proofErr w:type="spellEnd"/>
      <w:r w:rsidRPr="00274292">
        <w:rPr>
          <w:lang w:val="en-US"/>
        </w:rPr>
        <w:t xml:space="preserve">. 2007 Oct;51(10):3498-504. </w:t>
      </w:r>
      <w:proofErr w:type="spellStart"/>
      <w:r w:rsidRPr="00274292">
        <w:rPr>
          <w:lang w:val="en-US"/>
        </w:rPr>
        <w:t>doi</w:t>
      </w:r>
      <w:proofErr w:type="spellEnd"/>
      <w:r w:rsidRPr="00274292">
        <w:rPr>
          <w:lang w:val="en-US"/>
        </w:rPr>
        <w:t xml:space="preserve">: 10.1128/AAC.00671-07. </w:t>
      </w:r>
      <w:proofErr w:type="spellStart"/>
      <w:r w:rsidRPr="00274292">
        <w:rPr>
          <w:lang w:val="en-US"/>
        </w:rPr>
        <w:t>Epub</w:t>
      </w:r>
      <w:proofErr w:type="spellEnd"/>
      <w:r w:rsidRPr="00274292">
        <w:rPr>
          <w:lang w:val="en-US"/>
        </w:rPr>
        <w:t xml:space="preserve"> 2007 Jul 30. PMID: 17664327; PMCID: PMC2043290.</w:t>
      </w:r>
    </w:p>
    <w:p w:rsidR="00274292" w:rsidRPr="00274292" w:rsidRDefault="00274292" w:rsidP="00274292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lang w:val="en-US"/>
        </w:rPr>
        <w:t xml:space="preserve">[3]. </w:t>
      </w:r>
      <w:proofErr w:type="spellStart"/>
      <w:r w:rsidRPr="00274292">
        <w:rPr>
          <w:lang w:val="en-US"/>
        </w:rPr>
        <w:t>Callebaut</w:t>
      </w:r>
      <w:proofErr w:type="spellEnd"/>
      <w:r w:rsidRPr="00274292">
        <w:rPr>
          <w:lang w:val="en-US"/>
        </w:rPr>
        <w:t xml:space="preserve"> C, </w:t>
      </w:r>
      <w:proofErr w:type="spellStart"/>
      <w:r w:rsidRPr="00274292">
        <w:rPr>
          <w:lang w:val="en-US"/>
        </w:rPr>
        <w:t>Stepan</w:t>
      </w:r>
      <w:proofErr w:type="spellEnd"/>
      <w:r w:rsidRPr="00274292">
        <w:rPr>
          <w:lang w:val="en-US"/>
        </w:rPr>
        <w:t xml:space="preserve"> G, Tian Y, Miller MD. In Vitro Virology Profile of </w:t>
      </w:r>
      <w:proofErr w:type="spellStart"/>
      <w:r w:rsidRPr="00274292">
        <w:rPr>
          <w:lang w:val="en-US"/>
        </w:rPr>
        <w:t>Tenofovir</w:t>
      </w:r>
      <w:proofErr w:type="spellEnd"/>
      <w:r w:rsidRPr="00274292">
        <w:rPr>
          <w:lang w:val="en-US"/>
        </w:rPr>
        <w:t xml:space="preserve"> </w:t>
      </w:r>
      <w:proofErr w:type="spellStart"/>
      <w:r w:rsidRPr="00274292">
        <w:rPr>
          <w:lang w:val="en-US"/>
        </w:rPr>
        <w:t>Alafenamide</w:t>
      </w:r>
      <w:proofErr w:type="spellEnd"/>
      <w:r w:rsidRPr="00274292">
        <w:rPr>
          <w:lang w:val="en-US"/>
        </w:rPr>
        <w:t xml:space="preserve">, a Novel Oral Prodrug of </w:t>
      </w:r>
      <w:proofErr w:type="spellStart"/>
      <w:r w:rsidRPr="00274292">
        <w:rPr>
          <w:lang w:val="en-US"/>
        </w:rPr>
        <w:t>Tenofovir</w:t>
      </w:r>
      <w:proofErr w:type="spellEnd"/>
      <w:r w:rsidRPr="00274292">
        <w:rPr>
          <w:lang w:val="en-US"/>
        </w:rPr>
        <w:t xml:space="preserve"> with Improved Antiviral Activity Compared to That of </w:t>
      </w:r>
      <w:proofErr w:type="spellStart"/>
      <w:r w:rsidRPr="00274292">
        <w:rPr>
          <w:lang w:val="en-US"/>
        </w:rPr>
        <w:t>Tenofovir</w:t>
      </w:r>
      <w:proofErr w:type="spellEnd"/>
      <w:r w:rsidRPr="00274292">
        <w:rPr>
          <w:lang w:val="en-US"/>
        </w:rPr>
        <w:t xml:space="preserve"> </w:t>
      </w:r>
      <w:proofErr w:type="spellStart"/>
      <w:r w:rsidRPr="00274292">
        <w:rPr>
          <w:lang w:val="en-US"/>
        </w:rPr>
        <w:t>Disoproxil</w:t>
      </w:r>
      <w:proofErr w:type="spellEnd"/>
      <w:r w:rsidRPr="00274292">
        <w:rPr>
          <w:lang w:val="en-US"/>
        </w:rPr>
        <w:t xml:space="preserve"> Fumarate. </w:t>
      </w:r>
      <w:proofErr w:type="spellStart"/>
      <w:r w:rsidRPr="00274292">
        <w:rPr>
          <w:lang w:val="en-US"/>
        </w:rPr>
        <w:t>Antimicrob</w:t>
      </w:r>
      <w:proofErr w:type="spellEnd"/>
      <w:r w:rsidRPr="00274292">
        <w:rPr>
          <w:lang w:val="en-US"/>
        </w:rPr>
        <w:t xml:space="preserve"> Agents </w:t>
      </w:r>
      <w:proofErr w:type="spellStart"/>
      <w:r w:rsidRPr="00274292">
        <w:rPr>
          <w:lang w:val="en-US"/>
        </w:rPr>
        <w:t>Chemother</w:t>
      </w:r>
      <w:proofErr w:type="spellEnd"/>
      <w:r w:rsidRPr="00274292">
        <w:rPr>
          <w:lang w:val="en-US"/>
        </w:rPr>
        <w:t xml:space="preserve">. 2015 Oct;59(10):5909-16. </w:t>
      </w:r>
      <w:proofErr w:type="spellStart"/>
      <w:r w:rsidRPr="00274292">
        <w:rPr>
          <w:lang w:val="en-US"/>
        </w:rPr>
        <w:t>doi</w:t>
      </w:r>
      <w:proofErr w:type="spellEnd"/>
      <w:r w:rsidRPr="00274292">
        <w:rPr>
          <w:lang w:val="en-US"/>
        </w:rPr>
        <w:t xml:space="preserve">: 10.1128/AAC.01152-15. </w:t>
      </w:r>
      <w:proofErr w:type="spellStart"/>
      <w:r w:rsidRPr="00274292">
        <w:rPr>
          <w:lang w:val="en-US"/>
        </w:rPr>
        <w:t>Epub</w:t>
      </w:r>
      <w:proofErr w:type="spellEnd"/>
      <w:r w:rsidRPr="00274292">
        <w:rPr>
          <w:lang w:val="en-US"/>
        </w:rPr>
        <w:t xml:space="preserve"> 2015 Jul 6. PMID: 26149992; PMCID: PMC4576064.</w:t>
      </w:r>
    </w:p>
    <w:p w:rsidR="00274292" w:rsidRPr="00274292" w:rsidRDefault="00274292" w:rsidP="00516581">
      <w:pPr>
        <w:rPr>
          <w:lang w:val="en-US"/>
        </w:rPr>
      </w:pPr>
    </w:p>
    <w:sectPr w:rsidR="00274292" w:rsidRPr="00274292" w:rsidSect="00667E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04316"/>
    <w:multiLevelType w:val="hybridMultilevel"/>
    <w:tmpl w:val="98F43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0A"/>
    <w:rsid w:val="000917BA"/>
    <w:rsid w:val="001047EE"/>
    <w:rsid w:val="0016583C"/>
    <w:rsid w:val="001C3727"/>
    <w:rsid w:val="002018A1"/>
    <w:rsid w:val="00242621"/>
    <w:rsid w:val="00274292"/>
    <w:rsid w:val="00367880"/>
    <w:rsid w:val="003C203E"/>
    <w:rsid w:val="004F2A05"/>
    <w:rsid w:val="00516581"/>
    <w:rsid w:val="0062262C"/>
    <w:rsid w:val="00667EC7"/>
    <w:rsid w:val="007575BC"/>
    <w:rsid w:val="00795FA1"/>
    <w:rsid w:val="007F4E1B"/>
    <w:rsid w:val="00873BF8"/>
    <w:rsid w:val="00877F33"/>
    <w:rsid w:val="008B3C2A"/>
    <w:rsid w:val="00946229"/>
    <w:rsid w:val="00A00140"/>
    <w:rsid w:val="00A25C63"/>
    <w:rsid w:val="00A60ECC"/>
    <w:rsid w:val="00AC0011"/>
    <w:rsid w:val="00B16D71"/>
    <w:rsid w:val="00B32311"/>
    <w:rsid w:val="00B377A1"/>
    <w:rsid w:val="00B90021"/>
    <w:rsid w:val="00C04151"/>
    <w:rsid w:val="00C21048"/>
    <w:rsid w:val="00C26DD2"/>
    <w:rsid w:val="00C33325"/>
    <w:rsid w:val="00C67E7F"/>
    <w:rsid w:val="00D55F08"/>
    <w:rsid w:val="00D8614F"/>
    <w:rsid w:val="00D964AF"/>
    <w:rsid w:val="00DE0E2F"/>
    <w:rsid w:val="00E00CC9"/>
    <w:rsid w:val="00E07E9C"/>
    <w:rsid w:val="00E26F13"/>
    <w:rsid w:val="00E76AB9"/>
    <w:rsid w:val="00E87FDE"/>
    <w:rsid w:val="00EB3C0A"/>
    <w:rsid w:val="00F11FF7"/>
    <w:rsid w:val="00F13C5D"/>
    <w:rsid w:val="00F7160E"/>
    <w:rsid w:val="00FE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0F5D"/>
  <w15:chartTrackingRefBased/>
  <w15:docId w15:val="{95BF334F-B5DC-4A28-B028-B2D15F26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63</cp:revision>
  <dcterms:created xsi:type="dcterms:W3CDTF">2021-01-21T08:09:00Z</dcterms:created>
  <dcterms:modified xsi:type="dcterms:W3CDTF">2021-01-21T14:09:00Z</dcterms:modified>
</cp:coreProperties>
</file>