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2708" w:rsidRPr="00316B67" w:rsidRDefault="002E2708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>Для начала разберемся, что такое фосфоинозитид-3-киназа (PI3K).</w:t>
      </w:r>
    </w:p>
    <w:p w:rsidR="003B0561" w:rsidRPr="00316B67" w:rsidRDefault="002E2708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 – это фермент из класса киназ, т.е. </w:t>
      </w:r>
      <w:r w:rsidR="00064C7E" w:rsidRPr="00316B67">
        <w:rPr>
          <w:rFonts w:ascii="Times New Roman" w:hAnsi="Times New Roman" w:cs="Times New Roman"/>
          <w:sz w:val="24"/>
          <w:szCs w:val="24"/>
        </w:rPr>
        <w:t xml:space="preserve">ферментов, которые способствуют </w:t>
      </w:r>
      <w:r w:rsidRPr="00316B67">
        <w:rPr>
          <w:rFonts w:ascii="Times New Roman" w:hAnsi="Times New Roman" w:cs="Times New Roman"/>
          <w:sz w:val="24"/>
          <w:szCs w:val="24"/>
        </w:rPr>
        <w:t>переносу фосфатной группы с одного субстрата на другой</w:t>
      </w:r>
      <w:r w:rsidR="00064C7E" w:rsidRPr="00316B67">
        <w:rPr>
          <w:rFonts w:ascii="Times New Roman" w:hAnsi="Times New Roman" w:cs="Times New Roman"/>
          <w:sz w:val="24"/>
          <w:szCs w:val="24"/>
        </w:rPr>
        <w:t xml:space="preserve"> (фосфорилированию)</w:t>
      </w:r>
      <w:r w:rsidRPr="00316B67">
        <w:rPr>
          <w:rFonts w:ascii="Times New Roman" w:hAnsi="Times New Roman" w:cs="Times New Roman"/>
          <w:sz w:val="24"/>
          <w:szCs w:val="24"/>
        </w:rPr>
        <w:t>.</w:t>
      </w:r>
      <w:r w:rsidR="00130134" w:rsidRPr="00316B67">
        <w:rPr>
          <w:rFonts w:ascii="Times New Roman" w:hAnsi="Times New Roman" w:cs="Times New Roman"/>
          <w:sz w:val="24"/>
          <w:szCs w:val="24"/>
        </w:rPr>
        <w:t xml:space="preserve"> Он является пептидом и</w:t>
      </w:r>
      <w:r w:rsidR="003B0561" w:rsidRPr="00316B67">
        <w:rPr>
          <w:rFonts w:ascii="Times New Roman" w:hAnsi="Times New Roman" w:cs="Times New Roman"/>
          <w:sz w:val="24"/>
          <w:szCs w:val="24"/>
        </w:rPr>
        <w:t xml:space="preserve"> состоит из 2-х субъединиц – регуляторной р85 и каталитической р110. Регуляторной единицей он соединяется с одним из нескольких соединений (субстратов), а каталитическая единица после присоединения регуляторной к своему субстрату претерпевает конформационные изменения и становится активированной, т.е. способной переносить фосфатную группу с одного субстрата на другой.</w:t>
      </w:r>
    </w:p>
    <w:p w:rsidR="003B0561" w:rsidRDefault="003B0561" w:rsidP="003B056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42800" cy="21528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800" cy="21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816" w:rsidRDefault="004E21E6"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 бывает 3 классов</w:t>
      </w:r>
      <w:r w:rsidR="00BA0757" w:rsidRPr="00316B67">
        <w:rPr>
          <w:rFonts w:ascii="Times New Roman" w:hAnsi="Times New Roman" w:cs="Times New Roman"/>
          <w:sz w:val="24"/>
          <w:szCs w:val="24"/>
        </w:rPr>
        <w:t>.</w:t>
      </w:r>
      <w:r w:rsidR="002E2708" w:rsidRPr="00316B67">
        <w:rPr>
          <w:rFonts w:ascii="Times New Roman" w:hAnsi="Times New Roman" w:cs="Times New Roman"/>
          <w:sz w:val="24"/>
          <w:szCs w:val="24"/>
        </w:rPr>
        <w:t xml:space="preserve"> В нашем случае</w:t>
      </w:r>
      <w:r w:rsidR="00BD225A" w:rsidRPr="00316B67">
        <w:rPr>
          <w:rFonts w:ascii="Times New Roman" w:hAnsi="Times New Roman" w:cs="Times New Roman"/>
          <w:sz w:val="24"/>
          <w:szCs w:val="24"/>
        </w:rPr>
        <w:t>,</w:t>
      </w:r>
      <w:r w:rsidR="008A1816" w:rsidRPr="00316B67">
        <w:rPr>
          <w:rFonts w:ascii="Times New Roman" w:hAnsi="Times New Roman" w:cs="Times New Roman"/>
          <w:sz w:val="24"/>
          <w:szCs w:val="24"/>
        </w:rPr>
        <w:t xml:space="preserve"> киназа</w:t>
      </w:r>
      <w:r w:rsidR="002E2708"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="002E2708"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="002E2708" w:rsidRPr="00316B67">
        <w:rPr>
          <w:rFonts w:ascii="Times New Roman" w:hAnsi="Times New Roman" w:cs="Times New Roman"/>
          <w:sz w:val="24"/>
          <w:szCs w:val="24"/>
        </w:rPr>
        <w:t>3</w:t>
      </w:r>
      <w:r w:rsidR="002E2708"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BA0757" w:rsidRPr="00316B67">
        <w:rPr>
          <w:rFonts w:ascii="Times New Roman" w:hAnsi="Times New Roman" w:cs="Times New Roman"/>
          <w:sz w:val="24"/>
          <w:szCs w:val="24"/>
        </w:rPr>
        <w:t xml:space="preserve"> класса 1</w:t>
      </w:r>
      <w:r w:rsidR="002E2708" w:rsidRPr="00316B67">
        <w:rPr>
          <w:rFonts w:ascii="Times New Roman" w:hAnsi="Times New Roman" w:cs="Times New Roman"/>
          <w:sz w:val="24"/>
          <w:szCs w:val="24"/>
        </w:rPr>
        <w:t xml:space="preserve"> переносит</w:t>
      </w:r>
      <w:r w:rsidR="008A1816" w:rsidRPr="00316B67">
        <w:rPr>
          <w:rFonts w:ascii="Times New Roman" w:hAnsi="Times New Roman" w:cs="Times New Roman"/>
          <w:sz w:val="24"/>
          <w:szCs w:val="24"/>
        </w:rPr>
        <w:t xml:space="preserve"> фосфатную группу с молекулы</w:t>
      </w:r>
      <w:r w:rsidR="00BD225A" w:rsidRPr="00316B67">
        <w:rPr>
          <w:rFonts w:ascii="Times New Roman" w:hAnsi="Times New Roman" w:cs="Times New Roman"/>
          <w:sz w:val="24"/>
          <w:szCs w:val="24"/>
        </w:rPr>
        <w:t xml:space="preserve"> аденозинтрифосфата</w:t>
      </w:r>
      <w:r w:rsidR="008A1816"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="00BD225A" w:rsidRPr="00316B67">
        <w:rPr>
          <w:rFonts w:ascii="Times New Roman" w:hAnsi="Times New Roman" w:cs="Times New Roman"/>
          <w:sz w:val="24"/>
          <w:szCs w:val="24"/>
        </w:rPr>
        <w:t>(</w:t>
      </w:r>
      <w:r w:rsidR="008A1816" w:rsidRPr="00316B67">
        <w:rPr>
          <w:rFonts w:ascii="Times New Roman" w:hAnsi="Times New Roman" w:cs="Times New Roman"/>
          <w:sz w:val="24"/>
          <w:szCs w:val="24"/>
        </w:rPr>
        <w:t>АТФ</w:t>
      </w:r>
      <w:r w:rsidR="00BD225A" w:rsidRPr="00316B67">
        <w:rPr>
          <w:rFonts w:ascii="Times New Roman" w:hAnsi="Times New Roman" w:cs="Times New Roman"/>
          <w:sz w:val="24"/>
          <w:szCs w:val="24"/>
        </w:rPr>
        <w:t>)</w:t>
      </w:r>
      <w:r w:rsidR="008A1816" w:rsidRPr="00316B67">
        <w:rPr>
          <w:rFonts w:ascii="Times New Roman" w:hAnsi="Times New Roman" w:cs="Times New Roman"/>
          <w:sz w:val="24"/>
          <w:szCs w:val="24"/>
        </w:rPr>
        <w:t xml:space="preserve"> на молекулу </w:t>
      </w:r>
      <w:r w:rsidR="00BD225A" w:rsidRPr="00316B67">
        <w:rPr>
          <w:rFonts w:ascii="Times New Roman" w:hAnsi="Times New Roman" w:cs="Times New Roman"/>
          <w:sz w:val="24"/>
          <w:szCs w:val="24"/>
        </w:rPr>
        <w:t>фосфатидилинозитол (4, 5)-бифосфат (</w:t>
      </w:r>
      <w:r w:rsidR="00BD225A"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="00BD225A" w:rsidRPr="00316B67">
        <w:rPr>
          <w:rFonts w:ascii="Times New Roman" w:hAnsi="Times New Roman" w:cs="Times New Roman"/>
          <w:sz w:val="24"/>
          <w:szCs w:val="24"/>
        </w:rPr>
        <w:t>(4,5)</w:t>
      </w:r>
      <w:r w:rsidR="00BD225A" w:rsidRPr="00316B6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D225A" w:rsidRPr="00316B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225A" w:rsidRPr="00316B67">
        <w:rPr>
          <w:rFonts w:ascii="Times New Roman" w:hAnsi="Times New Roman" w:cs="Times New Roman"/>
          <w:sz w:val="24"/>
          <w:szCs w:val="24"/>
        </w:rPr>
        <w:t>), превращая ее</w:t>
      </w:r>
      <w:r w:rsidR="008A1816" w:rsidRPr="00316B67">
        <w:rPr>
          <w:rFonts w:ascii="Times New Roman" w:hAnsi="Times New Roman" w:cs="Times New Roman"/>
          <w:sz w:val="24"/>
          <w:szCs w:val="24"/>
        </w:rPr>
        <w:t xml:space="preserve"> в </w:t>
      </w:r>
      <w:r w:rsidR="00BD225A" w:rsidRPr="00316B67">
        <w:rPr>
          <w:rFonts w:ascii="Times New Roman" w:hAnsi="Times New Roman" w:cs="Times New Roman"/>
          <w:sz w:val="24"/>
          <w:szCs w:val="24"/>
        </w:rPr>
        <w:t>фосфатидилинозитол (3,4,</w:t>
      </w:r>
      <w:r w:rsidR="00785B08" w:rsidRPr="00316B67">
        <w:rPr>
          <w:rFonts w:ascii="Times New Roman" w:hAnsi="Times New Roman" w:cs="Times New Roman"/>
          <w:sz w:val="24"/>
          <w:szCs w:val="24"/>
        </w:rPr>
        <w:t>5)-тр</w:t>
      </w:r>
      <w:r w:rsidR="00BD225A" w:rsidRPr="00316B67">
        <w:rPr>
          <w:rFonts w:ascii="Times New Roman" w:hAnsi="Times New Roman" w:cs="Times New Roman"/>
          <w:sz w:val="24"/>
          <w:szCs w:val="24"/>
        </w:rPr>
        <w:t>ифосфат (</w:t>
      </w:r>
      <w:r w:rsidR="00BD225A"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="00BD225A" w:rsidRPr="00316B67">
        <w:rPr>
          <w:rFonts w:ascii="Times New Roman" w:hAnsi="Times New Roman" w:cs="Times New Roman"/>
          <w:sz w:val="24"/>
          <w:szCs w:val="24"/>
        </w:rPr>
        <w:t>(3,4,5)</w:t>
      </w:r>
      <w:r w:rsidR="00BD225A" w:rsidRPr="00316B6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BD225A" w:rsidRPr="00316B6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D225A" w:rsidRPr="00316B67">
        <w:rPr>
          <w:rFonts w:ascii="Times New Roman" w:hAnsi="Times New Roman" w:cs="Times New Roman"/>
          <w:sz w:val="24"/>
          <w:szCs w:val="24"/>
        </w:rPr>
        <w:t>)</w:t>
      </w:r>
      <w:r w:rsidRPr="00316B67">
        <w:rPr>
          <w:rFonts w:ascii="Times New Roman" w:hAnsi="Times New Roman" w:cs="Times New Roman"/>
          <w:sz w:val="24"/>
          <w:szCs w:val="24"/>
        </w:rPr>
        <w:t xml:space="preserve">, т.е. переносит фосфатную группу в 3-е положение соединения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45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16B67">
        <w:rPr>
          <w:rFonts w:ascii="Times New Roman" w:hAnsi="Times New Roman" w:cs="Times New Roman"/>
          <w:sz w:val="24"/>
          <w:szCs w:val="24"/>
        </w:rPr>
        <w:t>2, создавая</w:t>
      </w:r>
      <w:r w:rsidR="003B0561" w:rsidRPr="00316B67">
        <w:rPr>
          <w:rFonts w:ascii="Times New Roman" w:hAnsi="Times New Roman" w:cs="Times New Roman"/>
          <w:sz w:val="24"/>
          <w:szCs w:val="24"/>
        </w:rPr>
        <w:t xml:space="preserve"> соединение</w:t>
      </w:r>
      <w:r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345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>
        <w:t>.</w:t>
      </w:r>
    </w:p>
    <w:p w:rsidR="003B0561" w:rsidRDefault="003B0561" w:rsidP="003B0561">
      <w:pPr>
        <w:jc w:val="center"/>
      </w:pPr>
      <w:r>
        <w:rPr>
          <w:noProof/>
          <w:lang w:eastAsia="ru-RU"/>
        </w:rPr>
        <w:drawing>
          <wp:inline distT="0" distB="0" distL="0" distR="0" wp14:anchorId="4447F891" wp14:editId="3E21E95B">
            <wp:extent cx="3103200" cy="2973600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03200" cy="29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61" w:rsidRDefault="003B0561" w:rsidP="003B0561">
      <w:pPr>
        <w:jc w:val="center"/>
      </w:pPr>
    </w:p>
    <w:p w:rsidR="003B0561" w:rsidRPr="00316B67" w:rsidRDefault="003B0561" w:rsidP="003B0561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А вот обратную реакцию осуществляет гомолог фосфатазы и тензина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PTEN</w:t>
      </w:r>
      <w:r w:rsidRPr="00316B67">
        <w:rPr>
          <w:rFonts w:ascii="Times New Roman" w:hAnsi="Times New Roman" w:cs="Times New Roman"/>
          <w:sz w:val="24"/>
          <w:szCs w:val="24"/>
        </w:rPr>
        <w:t>.</w:t>
      </w:r>
    </w:p>
    <w:p w:rsidR="00BA0757" w:rsidRDefault="00BA0757">
      <w:r>
        <w:rPr>
          <w:noProof/>
          <w:lang w:eastAsia="ru-RU"/>
        </w:rPr>
        <w:lastRenderedPageBreak/>
        <w:drawing>
          <wp:inline distT="0" distB="0" distL="0" distR="0" wp14:anchorId="626F50E8" wp14:editId="43B7FDE5">
            <wp:extent cx="6645910" cy="3580765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08" w:rsidRPr="00316B67" w:rsidRDefault="008A1816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А вот, что </w:t>
      </w:r>
      <w:r w:rsidR="00220B6B" w:rsidRPr="00316B67">
        <w:rPr>
          <w:rFonts w:ascii="Times New Roman" w:hAnsi="Times New Roman" w:cs="Times New Roman"/>
          <w:sz w:val="24"/>
          <w:szCs w:val="24"/>
        </w:rPr>
        <w:t>такое фосфорилирование нам дает?</w:t>
      </w:r>
      <w:r w:rsidRPr="00316B67">
        <w:rPr>
          <w:rFonts w:ascii="Times New Roman" w:hAnsi="Times New Roman" w:cs="Times New Roman"/>
          <w:sz w:val="24"/>
          <w:szCs w:val="24"/>
        </w:rPr>
        <w:t xml:space="preserve"> И какой каскад событий, именуемый клеточной сигнализацией, запускает, давайте разбираться далее.</w:t>
      </w:r>
    </w:p>
    <w:p w:rsidR="00220B6B" w:rsidRPr="00316B67" w:rsidRDefault="00220B6B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>Вообще клеточной сигнализацией принято называть каскад событий, способствующий передаче сигнала по цепочке в ответ на какое-либо исходное событие, приводящее к какому-то определенному клеточному ответу. Как правило, исходным событием, служащим для передачи сигнала далее, является связывание клеточными рецепторами на мембране своих лигандов, например, гормонов, хемокинов и др. соединений. Как правило, далее следует фосфорилирование рецептора и последующая нисходящая передача сигнала, как правило, также за счет фосфорилирования, которое, как раз</w:t>
      </w:r>
      <w:r w:rsidR="00BE0149" w:rsidRPr="00316B67">
        <w:rPr>
          <w:rFonts w:ascii="Times New Roman" w:hAnsi="Times New Roman" w:cs="Times New Roman"/>
          <w:sz w:val="24"/>
          <w:szCs w:val="24"/>
        </w:rPr>
        <w:t>,</w:t>
      </w:r>
      <w:r w:rsidRPr="00316B67">
        <w:rPr>
          <w:rFonts w:ascii="Times New Roman" w:hAnsi="Times New Roman" w:cs="Times New Roman"/>
          <w:sz w:val="24"/>
          <w:szCs w:val="24"/>
        </w:rPr>
        <w:t xml:space="preserve"> обеспечивается вышеупомянутыми киназами.</w:t>
      </w:r>
    </w:p>
    <w:p w:rsidR="00933CCE" w:rsidRPr="00220B6B" w:rsidRDefault="00220B6B" w:rsidP="000300F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54400" cy="3708000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400" cy="37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708" w:rsidRDefault="002E2708"/>
    <w:p w:rsidR="000300F0" w:rsidRPr="00316B67" w:rsidRDefault="000300F0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lastRenderedPageBreak/>
        <w:t xml:space="preserve">Теперь давайте рассмотрим, как же в нашем конкретном случае осуществляется клеточная сигнализация при участии киназы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>.</w:t>
      </w:r>
    </w:p>
    <w:p w:rsidR="000300F0" w:rsidRPr="000300F0" w:rsidRDefault="000300F0">
      <w:r>
        <w:rPr>
          <w:noProof/>
          <w:lang w:eastAsia="ru-RU"/>
        </w:rPr>
        <w:drawing>
          <wp:inline distT="0" distB="0" distL="0" distR="0" wp14:anchorId="44F090C9" wp14:editId="225DAB83">
            <wp:extent cx="6645910" cy="421894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0F0" w:rsidRPr="00316B67" w:rsidRDefault="000300F0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Из данной картинки мы видим, что сигнальный путь выше по течению относительно нашего фермента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 (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upstream</w:t>
      </w:r>
      <w:r w:rsidRPr="00316B67">
        <w:rPr>
          <w:rFonts w:ascii="Times New Roman" w:hAnsi="Times New Roman" w:cs="Times New Roman"/>
          <w:sz w:val="24"/>
          <w:szCs w:val="24"/>
        </w:rPr>
        <w:t>) может начинаться по 2-ум различным путям:</w:t>
      </w:r>
    </w:p>
    <w:p w:rsidR="000300F0" w:rsidRPr="00316B67" w:rsidRDefault="00663742" w:rsidP="000300F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>С</w:t>
      </w:r>
      <w:r w:rsidR="000300F0" w:rsidRPr="00316B67">
        <w:rPr>
          <w:rFonts w:ascii="Times New Roman" w:hAnsi="Times New Roman" w:cs="Times New Roman"/>
          <w:sz w:val="24"/>
          <w:szCs w:val="24"/>
        </w:rPr>
        <w:t>о связывания</w:t>
      </w:r>
      <w:r w:rsidRPr="00316B67">
        <w:rPr>
          <w:rFonts w:ascii="Times New Roman" w:hAnsi="Times New Roman" w:cs="Times New Roman"/>
          <w:sz w:val="24"/>
          <w:szCs w:val="24"/>
        </w:rPr>
        <w:t xml:space="preserve"> инсулина, либо ростовых факторов</w:t>
      </w:r>
      <w:r w:rsidR="000300F0" w:rsidRPr="00316B67">
        <w:rPr>
          <w:rFonts w:ascii="Times New Roman" w:hAnsi="Times New Roman" w:cs="Times New Roman"/>
          <w:sz w:val="24"/>
          <w:szCs w:val="24"/>
        </w:rPr>
        <w:t xml:space="preserve"> с тирозин-киназным рецептором (</w:t>
      </w:r>
      <w:r w:rsidR="000300F0"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="000300F0" w:rsidRPr="00316B67">
        <w:rPr>
          <w:rFonts w:ascii="Times New Roman" w:hAnsi="Times New Roman" w:cs="Times New Roman"/>
          <w:sz w:val="24"/>
          <w:szCs w:val="24"/>
        </w:rPr>
        <w:t>)</w:t>
      </w:r>
      <w:r w:rsidRPr="00316B67">
        <w:rPr>
          <w:rFonts w:ascii="Times New Roman" w:hAnsi="Times New Roman" w:cs="Times New Roman"/>
          <w:sz w:val="24"/>
          <w:szCs w:val="24"/>
        </w:rPr>
        <w:t>.</w:t>
      </w:r>
    </w:p>
    <w:p w:rsidR="000300F0" w:rsidRPr="00316B67" w:rsidRDefault="00663742" w:rsidP="000300F0">
      <w:pPr>
        <w:pStyle w:val="a4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>С</w:t>
      </w:r>
      <w:r w:rsidR="000300F0" w:rsidRPr="00316B67">
        <w:rPr>
          <w:rFonts w:ascii="Times New Roman" w:hAnsi="Times New Roman" w:cs="Times New Roman"/>
          <w:sz w:val="24"/>
          <w:szCs w:val="24"/>
        </w:rPr>
        <w:t>о связывания</w:t>
      </w:r>
      <w:r w:rsidRPr="00316B67">
        <w:rPr>
          <w:rFonts w:ascii="Times New Roman" w:hAnsi="Times New Roman" w:cs="Times New Roman"/>
          <w:sz w:val="24"/>
          <w:szCs w:val="24"/>
        </w:rPr>
        <w:t xml:space="preserve"> хемокинов и фосфолипида в виде лизофосфатидной кислоты (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LPA</w:t>
      </w:r>
      <w:r w:rsidRPr="00316B67">
        <w:rPr>
          <w:rFonts w:ascii="Times New Roman" w:hAnsi="Times New Roman" w:cs="Times New Roman"/>
          <w:sz w:val="24"/>
          <w:szCs w:val="24"/>
        </w:rPr>
        <w:t xml:space="preserve">) 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ED3C46" w:rsidRPr="00316B67">
        <w:rPr>
          <w:rFonts w:ascii="Times New Roman" w:hAnsi="Times New Roman" w:cs="Times New Roman"/>
          <w:sz w:val="24"/>
          <w:szCs w:val="24"/>
        </w:rPr>
        <w:t>-белоксвязанным</w:t>
      </w:r>
      <w:r w:rsidRPr="00316B67">
        <w:rPr>
          <w:rFonts w:ascii="Times New Roman" w:hAnsi="Times New Roman" w:cs="Times New Roman"/>
          <w:sz w:val="24"/>
          <w:szCs w:val="24"/>
        </w:rPr>
        <w:t xml:space="preserve"> рецептором (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GPCR</w:t>
      </w:r>
      <w:r w:rsidRPr="00316B67">
        <w:rPr>
          <w:rFonts w:ascii="Times New Roman" w:hAnsi="Times New Roman" w:cs="Times New Roman"/>
          <w:sz w:val="24"/>
          <w:szCs w:val="24"/>
        </w:rPr>
        <w:t>).</w:t>
      </w:r>
    </w:p>
    <w:p w:rsidR="00663742" w:rsidRPr="00316B67" w:rsidRDefault="00663742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После связывания вышеуказанными рецепторами вышеуказанных лигандов в случае с тирозинкиназным рецептором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Pr="00316B67">
        <w:rPr>
          <w:rFonts w:ascii="Times New Roman" w:hAnsi="Times New Roman" w:cs="Times New Roman"/>
          <w:sz w:val="24"/>
          <w:szCs w:val="24"/>
        </w:rPr>
        <w:t xml:space="preserve"> его внутриклеточный участок подвергается аутофосфорилированию (тирозиновые остатки в белковой цепи фосфорилируют друг друга) при участии</w:t>
      </w:r>
      <w:r w:rsidR="00C337A8" w:rsidRPr="00316B67">
        <w:rPr>
          <w:rFonts w:ascii="Times New Roman" w:hAnsi="Times New Roman" w:cs="Times New Roman"/>
          <w:sz w:val="24"/>
          <w:szCs w:val="24"/>
        </w:rPr>
        <w:t xml:space="preserve"> внутриклеточной</w:t>
      </w:r>
      <w:r w:rsidRPr="00316B67">
        <w:rPr>
          <w:rFonts w:ascii="Times New Roman" w:hAnsi="Times New Roman" w:cs="Times New Roman"/>
          <w:sz w:val="24"/>
          <w:szCs w:val="24"/>
        </w:rPr>
        <w:t xml:space="preserve"> АТФ и он становится активированным, а в случае с рецептором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GPCR</w:t>
      </w:r>
      <w:r w:rsidRPr="00316B67">
        <w:rPr>
          <w:rFonts w:ascii="Times New Roman" w:hAnsi="Times New Roman" w:cs="Times New Roman"/>
          <w:sz w:val="24"/>
          <w:szCs w:val="24"/>
        </w:rPr>
        <w:t xml:space="preserve">, данный рецептор </w:t>
      </w:r>
      <w:r w:rsidR="00ED3C46" w:rsidRPr="00316B67">
        <w:rPr>
          <w:rFonts w:ascii="Times New Roman" w:hAnsi="Times New Roman" w:cs="Times New Roman"/>
          <w:sz w:val="24"/>
          <w:szCs w:val="24"/>
        </w:rPr>
        <w:t>фосфорилирует и соответственно активирует</w:t>
      </w:r>
      <w:r w:rsidR="003033CD" w:rsidRPr="00316B67">
        <w:rPr>
          <w:rFonts w:ascii="Times New Roman" w:hAnsi="Times New Roman" w:cs="Times New Roman"/>
          <w:sz w:val="24"/>
          <w:szCs w:val="24"/>
        </w:rPr>
        <w:t xml:space="preserve"> связанный с ним</w:t>
      </w:r>
      <w:r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316B67">
        <w:rPr>
          <w:rFonts w:ascii="Times New Roman" w:hAnsi="Times New Roman" w:cs="Times New Roman"/>
          <w:sz w:val="24"/>
          <w:szCs w:val="24"/>
        </w:rPr>
        <w:t>-</w:t>
      </w:r>
      <w:r w:rsidR="00C337A8" w:rsidRPr="00316B67">
        <w:rPr>
          <w:rFonts w:ascii="Times New Roman" w:hAnsi="Times New Roman" w:cs="Times New Roman"/>
          <w:sz w:val="24"/>
          <w:szCs w:val="24"/>
        </w:rPr>
        <w:t xml:space="preserve">белок </w:t>
      </w:r>
      <w:r w:rsidR="008429C2" w:rsidRPr="00316B67">
        <w:rPr>
          <w:rFonts w:ascii="Times New Roman" w:hAnsi="Times New Roman" w:cs="Times New Roman"/>
          <w:sz w:val="24"/>
          <w:szCs w:val="24"/>
        </w:rPr>
        <w:t>(</w:t>
      </w:r>
      <w:r w:rsidR="00C337A8" w:rsidRPr="00316B67">
        <w:rPr>
          <w:rFonts w:ascii="Times New Roman" w:hAnsi="Times New Roman" w:cs="Times New Roman"/>
          <w:sz w:val="24"/>
          <w:szCs w:val="24"/>
        </w:rPr>
        <w:t>с ГДФ в составе</w:t>
      </w:r>
      <w:r w:rsidR="008429C2" w:rsidRPr="00316B67">
        <w:rPr>
          <w:rFonts w:ascii="Times New Roman" w:hAnsi="Times New Roman" w:cs="Times New Roman"/>
          <w:sz w:val="24"/>
          <w:szCs w:val="24"/>
        </w:rPr>
        <w:t>)</w:t>
      </w:r>
      <w:r w:rsidR="003033CD" w:rsidRPr="00316B67">
        <w:rPr>
          <w:rFonts w:ascii="Times New Roman" w:hAnsi="Times New Roman" w:cs="Times New Roman"/>
          <w:sz w:val="24"/>
          <w:szCs w:val="24"/>
        </w:rPr>
        <w:t xml:space="preserve"> при участии внутриклеточной ГТФ</w:t>
      </w:r>
      <w:r w:rsidR="00ED3C46" w:rsidRPr="00316B67">
        <w:rPr>
          <w:rFonts w:ascii="Times New Roman" w:hAnsi="Times New Roman" w:cs="Times New Roman"/>
          <w:sz w:val="24"/>
          <w:szCs w:val="24"/>
        </w:rPr>
        <w:t xml:space="preserve">, </w:t>
      </w:r>
      <w:r w:rsidR="00C337A8" w:rsidRPr="00316B67">
        <w:rPr>
          <w:rFonts w:ascii="Times New Roman" w:hAnsi="Times New Roman" w:cs="Times New Roman"/>
          <w:sz w:val="24"/>
          <w:szCs w:val="24"/>
        </w:rPr>
        <w:t xml:space="preserve">а не сам рецептор, как в случае с </w:t>
      </w:r>
      <w:r w:rsidR="00C337A8"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="003033CD" w:rsidRPr="00316B67">
        <w:rPr>
          <w:rFonts w:ascii="Times New Roman" w:hAnsi="Times New Roman" w:cs="Times New Roman"/>
          <w:sz w:val="24"/>
          <w:szCs w:val="24"/>
        </w:rPr>
        <w:t>.</w:t>
      </w:r>
    </w:p>
    <w:p w:rsidR="003033CD" w:rsidRDefault="003033CD" w:rsidP="00663742">
      <w:r>
        <w:rPr>
          <w:noProof/>
          <w:lang w:eastAsia="ru-RU"/>
        </w:rPr>
        <w:lastRenderedPageBreak/>
        <w:drawing>
          <wp:inline distT="0" distB="0" distL="0" distR="0">
            <wp:extent cx="6637020" cy="28651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9C2" w:rsidRPr="00316B67" w:rsidRDefault="003033CD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И далее уже в работу вступает наша киназа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, которая либо связывается своей регуляторной субъединицей р85 непосредственно с фосфорилированным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Pr="00316B67">
        <w:rPr>
          <w:rFonts w:ascii="Times New Roman" w:hAnsi="Times New Roman" w:cs="Times New Roman"/>
          <w:sz w:val="24"/>
          <w:szCs w:val="24"/>
        </w:rPr>
        <w:t xml:space="preserve">, либо с адаптером в лице субстрата рецептора инсулина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IRS</w:t>
      </w:r>
      <w:r w:rsidRPr="00316B67">
        <w:rPr>
          <w:rFonts w:ascii="Times New Roman" w:hAnsi="Times New Roman" w:cs="Times New Roman"/>
          <w:sz w:val="24"/>
          <w:szCs w:val="24"/>
        </w:rPr>
        <w:t xml:space="preserve">, связанного с тем же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="00865F96" w:rsidRPr="00316B67">
        <w:rPr>
          <w:rFonts w:ascii="Times New Roman" w:hAnsi="Times New Roman" w:cs="Times New Roman"/>
          <w:sz w:val="24"/>
          <w:szCs w:val="24"/>
        </w:rPr>
        <w:t>, либо субъединицей р110 с белком</w:t>
      </w:r>
      <w:r w:rsidRPr="00316B67">
        <w:rPr>
          <w:rFonts w:ascii="Times New Roman" w:hAnsi="Times New Roman" w:cs="Times New Roman"/>
          <w:sz w:val="24"/>
          <w:szCs w:val="24"/>
        </w:rPr>
        <w:t xml:space="preserve">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RAS</w:t>
      </w:r>
      <w:r w:rsidRPr="00316B67">
        <w:rPr>
          <w:rFonts w:ascii="Times New Roman" w:hAnsi="Times New Roman" w:cs="Times New Roman"/>
          <w:sz w:val="24"/>
          <w:szCs w:val="24"/>
        </w:rPr>
        <w:t>,</w:t>
      </w:r>
      <w:r w:rsidR="00865F96" w:rsidRPr="00316B67">
        <w:rPr>
          <w:rFonts w:ascii="Times New Roman" w:hAnsi="Times New Roman" w:cs="Times New Roman"/>
          <w:sz w:val="24"/>
          <w:szCs w:val="24"/>
        </w:rPr>
        <w:t xml:space="preserve"> связанным через </w:t>
      </w:r>
      <w:r w:rsidR="00865F96" w:rsidRPr="00316B67">
        <w:rPr>
          <w:rFonts w:ascii="Times New Roman" w:hAnsi="Times New Roman" w:cs="Times New Roman"/>
          <w:sz w:val="24"/>
          <w:szCs w:val="24"/>
          <w:lang w:val="en-US"/>
        </w:rPr>
        <w:t>IRS</w:t>
      </w:r>
      <w:r w:rsidR="00865F96" w:rsidRPr="00316B67">
        <w:rPr>
          <w:rFonts w:ascii="Times New Roman" w:hAnsi="Times New Roman" w:cs="Times New Roman"/>
          <w:sz w:val="24"/>
          <w:szCs w:val="24"/>
        </w:rPr>
        <w:t xml:space="preserve"> с </w:t>
      </w:r>
      <w:r w:rsidR="00865F96" w:rsidRPr="00316B67">
        <w:rPr>
          <w:rFonts w:ascii="Times New Roman" w:hAnsi="Times New Roman" w:cs="Times New Roman"/>
          <w:sz w:val="24"/>
          <w:szCs w:val="24"/>
          <w:lang w:val="en-US"/>
        </w:rPr>
        <w:t>RTK</w:t>
      </w:r>
      <w:r w:rsidR="00865F96" w:rsidRPr="00316B67">
        <w:rPr>
          <w:rFonts w:ascii="Times New Roman" w:hAnsi="Times New Roman" w:cs="Times New Roman"/>
          <w:sz w:val="24"/>
          <w:szCs w:val="24"/>
        </w:rPr>
        <w:t>,</w:t>
      </w:r>
      <w:r w:rsidRPr="00316B67">
        <w:rPr>
          <w:rFonts w:ascii="Times New Roman" w:hAnsi="Times New Roman" w:cs="Times New Roman"/>
          <w:sz w:val="24"/>
          <w:szCs w:val="24"/>
        </w:rPr>
        <w:t xml:space="preserve"> либо через </w:t>
      </w:r>
      <w:r w:rsidR="00A4566F" w:rsidRPr="00316B67">
        <w:rPr>
          <w:rFonts w:ascii="Times New Roman" w:hAnsi="Times New Roman" w:cs="Times New Roman"/>
          <w:sz w:val="24"/>
          <w:szCs w:val="24"/>
        </w:rPr>
        <w:t xml:space="preserve">фосфорилированный </w:t>
      </w:r>
      <w:r w:rsidR="00865F96" w:rsidRPr="00316B67">
        <w:rPr>
          <w:rFonts w:ascii="Times New Roman" w:hAnsi="Times New Roman" w:cs="Times New Roman"/>
          <w:sz w:val="24"/>
          <w:szCs w:val="24"/>
          <w:lang w:val="en-US"/>
        </w:rPr>
        <w:t>G</w:t>
      </w:r>
      <w:r w:rsidR="00865F96" w:rsidRPr="00316B67">
        <w:rPr>
          <w:rFonts w:ascii="Times New Roman" w:hAnsi="Times New Roman" w:cs="Times New Roman"/>
          <w:sz w:val="24"/>
          <w:szCs w:val="24"/>
        </w:rPr>
        <w:t>-белок.</w:t>
      </w:r>
    </w:p>
    <w:p w:rsidR="00705B61" w:rsidRPr="00316B67" w:rsidRDefault="00705B61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А уже затем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 связывается с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 xml:space="preserve">2 на внутренней стороне мембраны и помогает осуществить перенос фосфатной группы с АТФ на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 xml:space="preserve">2, превратив его в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>3.</w:t>
      </w:r>
    </w:p>
    <w:p w:rsidR="008A5E8F" w:rsidRPr="00316B67" w:rsidRDefault="008A5E8F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Здесь обратим внимание на роль фосфатазы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PTEN</w:t>
      </w:r>
      <w:r w:rsidRPr="00316B67">
        <w:rPr>
          <w:rFonts w:ascii="Times New Roman" w:hAnsi="Times New Roman" w:cs="Times New Roman"/>
          <w:sz w:val="24"/>
          <w:szCs w:val="24"/>
        </w:rPr>
        <w:t xml:space="preserve"> в этом процессе. Мы здесь можем наблюдать, что она по сути ингибирует процесс дальнейшей сигнализации. Т.е. она ответственна за осуществление обратного процесса превращения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 xml:space="preserve">3 в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 xml:space="preserve">2, дефосфорилируя (отнимая фосфат) </w:t>
      </w:r>
      <w:r w:rsidR="00312EDB"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="00312EDB" w:rsidRPr="00316B67">
        <w:rPr>
          <w:rFonts w:ascii="Times New Roman" w:hAnsi="Times New Roman" w:cs="Times New Roman"/>
          <w:sz w:val="24"/>
          <w:szCs w:val="24"/>
        </w:rPr>
        <w:t xml:space="preserve">3. Т.е. при повышенной активности </w:t>
      </w:r>
      <w:r w:rsidR="00312EDB" w:rsidRPr="00316B67">
        <w:rPr>
          <w:rFonts w:ascii="Times New Roman" w:hAnsi="Times New Roman" w:cs="Times New Roman"/>
          <w:sz w:val="24"/>
          <w:szCs w:val="24"/>
          <w:lang w:val="en-US"/>
        </w:rPr>
        <w:t>PTEN</w:t>
      </w:r>
      <w:r w:rsidR="00312EDB" w:rsidRPr="00316B67">
        <w:rPr>
          <w:rFonts w:ascii="Times New Roman" w:hAnsi="Times New Roman" w:cs="Times New Roman"/>
          <w:sz w:val="24"/>
          <w:szCs w:val="24"/>
        </w:rPr>
        <w:t xml:space="preserve"> наш нижележащий процесс (</w:t>
      </w:r>
      <w:r w:rsidR="00312EDB" w:rsidRPr="00316B67">
        <w:rPr>
          <w:rFonts w:ascii="Times New Roman" w:hAnsi="Times New Roman" w:cs="Times New Roman"/>
          <w:sz w:val="24"/>
          <w:szCs w:val="24"/>
          <w:lang w:val="en-US"/>
        </w:rPr>
        <w:t>downstream</w:t>
      </w:r>
      <w:r w:rsidR="00312EDB" w:rsidRPr="00316B67">
        <w:rPr>
          <w:rFonts w:ascii="Times New Roman" w:hAnsi="Times New Roman" w:cs="Times New Roman"/>
          <w:sz w:val="24"/>
          <w:szCs w:val="24"/>
        </w:rPr>
        <w:t xml:space="preserve">) сигнализации </w:t>
      </w:r>
      <w:r w:rsidR="00312EDB"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="00312EDB" w:rsidRPr="00316B67">
        <w:rPr>
          <w:rFonts w:ascii="Times New Roman" w:hAnsi="Times New Roman" w:cs="Times New Roman"/>
          <w:sz w:val="24"/>
          <w:szCs w:val="24"/>
        </w:rPr>
        <w:t>3</w:t>
      </w:r>
      <w:r w:rsidR="00312EDB"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="00312EDB" w:rsidRPr="00316B67">
        <w:rPr>
          <w:rFonts w:ascii="Times New Roman" w:hAnsi="Times New Roman" w:cs="Times New Roman"/>
          <w:sz w:val="24"/>
          <w:szCs w:val="24"/>
        </w:rPr>
        <w:t>-пути сильно тормозится.</w:t>
      </w:r>
    </w:p>
    <w:p w:rsidR="00705B61" w:rsidRDefault="00705B61" w:rsidP="008A5E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83200" cy="302400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200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B61" w:rsidRPr="00316B67" w:rsidRDefault="008A5E8F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Далее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PIP</w:t>
      </w:r>
      <w:r w:rsidRPr="00316B67">
        <w:rPr>
          <w:rFonts w:ascii="Times New Roman" w:hAnsi="Times New Roman" w:cs="Times New Roman"/>
          <w:sz w:val="24"/>
          <w:szCs w:val="24"/>
        </w:rPr>
        <w:t xml:space="preserve">3 привлекает к себе на внутреннюю мембрану серин-треониновую киназу АКТ и киназу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PDK</w:t>
      </w:r>
      <w:r w:rsidRPr="00316B67">
        <w:rPr>
          <w:rFonts w:ascii="Times New Roman" w:hAnsi="Times New Roman" w:cs="Times New Roman"/>
          <w:sz w:val="24"/>
          <w:szCs w:val="24"/>
        </w:rPr>
        <w:t xml:space="preserve">1, которая фосфорилирует затем треониновый остаток 308 на молекуле АКТ, а затем АКТ с фосфорилированным 308 остатком диссоциирует от мембраны внутрь клетки и после этого клеточный комплекс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mTORC</w:t>
      </w:r>
      <w:r w:rsidRPr="00316B67">
        <w:rPr>
          <w:rFonts w:ascii="Times New Roman" w:hAnsi="Times New Roman" w:cs="Times New Roman"/>
          <w:sz w:val="24"/>
          <w:szCs w:val="24"/>
        </w:rPr>
        <w:t>2 фосфорилирует второй аминокислотный остаток – остаток серина 473.</w:t>
      </w:r>
    </w:p>
    <w:p w:rsidR="008A5E8F" w:rsidRPr="00316B67" w:rsidRDefault="00965FF9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lastRenderedPageBreak/>
        <w:t xml:space="preserve">А фосфорилированная киназа АКТ (она же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PKB</w:t>
      </w:r>
      <w:r w:rsidRPr="00316B67">
        <w:rPr>
          <w:rFonts w:ascii="Times New Roman" w:hAnsi="Times New Roman" w:cs="Times New Roman"/>
          <w:sz w:val="24"/>
          <w:szCs w:val="24"/>
        </w:rPr>
        <w:t xml:space="preserve">) является ключевым ферментов для дальнейшей передачи сигналов по разным направлениям. Она может тормозить, либо инициировать массу клеочных процессов. Мишенями-процессами по которым стреляет киназа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AKT</w:t>
      </w:r>
      <w:r w:rsidRPr="00316B67">
        <w:rPr>
          <w:rFonts w:ascii="Times New Roman" w:hAnsi="Times New Roman" w:cs="Times New Roman"/>
          <w:sz w:val="24"/>
          <w:szCs w:val="24"/>
        </w:rPr>
        <w:t xml:space="preserve"> в итоге являются: клеточная пролиферация, клеточный рост, апоптоз, синтез белков, клеточный метаболизм, выживание клеток, поляризация и др.</w:t>
      </w:r>
    </w:p>
    <w:p w:rsidR="007F782A" w:rsidRDefault="007F782A" w:rsidP="00663742">
      <w:r>
        <w:rPr>
          <w:noProof/>
          <w:lang w:eastAsia="ru-RU"/>
        </w:rPr>
        <w:drawing>
          <wp:inline distT="0" distB="0" distL="0" distR="0" wp14:anchorId="394C4D93" wp14:editId="4B60E6BD">
            <wp:extent cx="6645910" cy="4451985"/>
            <wp:effectExtent l="0" t="0" r="254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5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FF9" w:rsidRPr="00DF0442" w:rsidRDefault="00965FF9" w:rsidP="00663742">
      <w:pPr>
        <w:rPr>
          <w:rFonts w:ascii="Times New Roman" w:hAnsi="Times New Roman" w:cs="Times New Roman"/>
          <w:b/>
          <w:sz w:val="24"/>
          <w:szCs w:val="24"/>
        </w:rPr>
      </w:pPr>
      <w:r w:rsidRPr="00DF0442">
        <w:rPr>
          <w:rFonts w:ascii="Times New Roman" w:hAnsi="Times New Roman" w:cs="Times New Roman"/>
          <w:b/>
          <w:sz w:val="24"/>
          <w:szCs w:val="24"/>
        </w:rPr>
        <w:t>Т.е., в итоге</w:t>
      </w:r>
      <w:r w:rsidR="00DF0442" w:rsidRPr="00DF0442">
        <w:rPr>
          <w:rFonts w:ascii="Times New Roman" w:hAnsi="Times New Roman" w:cs="Times New Roman"/>
          <w:b/>
          <w:sz w:val="24"/>
          <w:szCs w:val="24"/>
        </w:rPr>
        <w:t xml:space="preserve"> киназа</w:t>
      </w:r>
      <w:r w:rsidRPr="00DF04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0442">
        <w:rPr>
          <w:rFonts w:ascii="Times New Roman" w:hAnsi="Times New Roman" w:cs="Times New Roman"/>
          <w:b/>
          <w:sz w:val="24"/>
          <w:szCs w:val="24"/>
          <w:lang w:val="en-US"/>
        </w:rPr>
        <w:t>PI</w:t>
      </w:r>
      <w:r w:rsidRPr="00DF0442">
        <w:rPr>
          <w:rFonts w:ascii="Times New Roman" w:hAnsi="Times New Roman" w:cs="Times New Roman"/>
          <w:b/>
          <w:sz w:val="24"/>
          <w:szCs w:val="24"/>
        </w:rPr>
        <w:t>3</w:t>
      </w:r>
      <w:r w:rsidRPr="00DF0442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DF0442">
        <w:rPr>
          <w:rFonts w:ascii="Times New Roman" w:hAnsi="Times New Roman" w:cs="Times New Roman"/>
          <w:b/>
          <w:sz w:val="24"/>
          <w:szCs w:val="24"/>
        </w:rPr>
        <w:t xml:space="preserve"> запускает массу очень важных механизмов в клетке, а </w:t>
      </w:r>
      <w:r w:rsidR="00DF0442" w:rsidRPr="00DF0442">
        <w:rPr>
          <w:rFonts w:ascii="Times New Roman" w:hAnsi="Times New Roman" w:cs="Times New Roman"/>
          <w:b/>
          <w:sz w:val="24"/>
          <w:szCs w:val="24"/>
        </w:rPr>
        <w:t xml:space="preserve">фосфатаза </w:t>
      </w:r>
      <w:r w:rsidRPr="00DF0442">
        <w:rPr>
          <w:rFonts w:ascii="Times New Roman" w:hAnsi="Times New Roman" w:cs="Times New Roman"/>
          <w:b/>
          <w:sz w:val="24"/>
          <w:szCs w:val="24"/>
          <w:lang w:val="en-US"/>
        </w:rPr>
        <w:t>PTEN</w:t>
      </w:r>
      <w:r w:rsidRPr="00DF0442">
        <w:rPr>
          <w:rFonts w:ascii="Times New Roman" w:hAnsi="Times New Roman" w:cs="Times New Roman"/>
          <w:b/>
          <w:sz w:val="24"/>
          <w:szCs w:val="24"/>
        </w:rPr>
        <w:t xml:space="preserve"> ей в этом мешает.</w:t>
      </w:r>
    </w:p>
    <w:p w:rsidR="007F782A" w:rsidRPr="00316B67" w:rsidRDefault="007F782A" w:rsidP="00663742">
      <w:pPr>
        <w:rPr>
          <w:rFonts w:ascii="Times New Roman" w:hAnsi="Times New Roman" w:cs="Times New Roman"/>
          <w:sz w:val="24"/>
          <w:szCs w:val="24"/>
        </w:rPr>
      </w:pPr>
      <w:r w:rsidRPr="00316B67">
        <w:rPr>
          <w:rFonts w:ascii="Times New Roman" w:hAnsi="Times New Roman" w:cs="Times New Roman"/>
          <w:sz w:val="24"/>
          <w:szCs w:val="24"/>
        </w:rPr>
        <w:t xml:space="preserve">И в нашем случае влияние 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PI</w:t>
      </w:r>
      <w:r w:rsidRPr="00316B67">
        <w:rPr>
          <w:rFonts w:ascii="Times New Roman" w:hAnsi="Times New Roman" w:cs="Times New Roman"/>
          <w:sz w:val="24"/>
          <w:szCs w:val="24"/>
        </w:rPr>
        <w:t>3</w:t>
      </w:r>
      <w:r w:rsidRPr="00316B67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16B67">
        <w:rPr>
          <w:rFonts w:ascii="Times New Roman" w:hAnsi="Times New Roman" w:cs="Times New Roman"/>
          <w:sz w:val="24"/>
          <w:szCs w:val="24"/>
        </w:rPr>
        <w:t xml:space="preserve"> на сигнализацию в макрофагах жировой ткани – не исключение.</w:t>
      </w:r>
    </w:p>
    <w:p w:rsidR="00B53521" w:rsidRPr="00AA7251" w:rsidRDefault="00B53521" w:rsidP="00B53521">
      <w:pPr>
        <w:jc w:val="center"/>
      </w:pPr>
      <w:bookmarkStart w:id="0" w:name="_GoBack"/>
      <w:bookmarkEnd w:id="0"/>
    </w:p>
    <w:sectPr w:rsidR="00B53521" w:rsidRPr="00AA7251" w:rsidSect="006754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D3421" w:rsidRDefault="004D3421" w:rsidP="003B0561">
      <w:pPr>
        <w:spacing w:after="0" w:line="240" w:lineRule="auto"/>
      </w:pPr>
      <w:r>
        <w:separator/>
      </w:r>
    </w:p>
  </w:endnote>
  <w:endnote w:type="continuationSeparator" w:id="0">
    <w:p w:rsidR="004D3421" w:rsidRDefault="004D3421" w:rsidP="003B0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D3421" w:rsidRDefault="004D3421" w:rsidP="003B0561">
      <w:pPr>
        <w:spacing w:after="0" w:line="240" w:lineRule="auto"/>
      </w:pPr>
      <w:r>
        <w:separator/>
      </w:r>
    </w:p>
  </w:footnote>
  <w:footnote w:type="continuationSeparator" w:id="0">
    <w:p w:rsidR="004D3421" w:rsidRDefault="004D3421" w:rsidP="003B05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372673"/>
    <w:multiLevelType w:val="hybridMultilevel"/>
    <w:tmpl w:val="343C59AE"/>
    <w:lvl w:ilvl="0" w:tplc="C980F0A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E60F5"/>
    <w:multiLevelType w:val="hybridMultilevel"/>
    <w:tmpl w:val="EA2A0916"/>
    <w:lvl w:ilvl="0" w:tplc="F66C365A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95C0D68"/>
    <w:multiLevelType w:val="hybridMultilevel"/>
    <w:tmpl w:val="50F88F86"/>
    <w:lvl w:ilvl="0" w:tplc="6D083674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E887CFE"/>
    <w:multiLevelType w:val="hybridMultilevel"/>
    <w:tmpl w:val="4E7C8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4D0"/>
    <w:rsid w:val="0000752B"/>
    <w:rsid w:val="00017D22"/>
    <w:rsid w:val="000300F0"/>
    <w:rsid w:val="00034729"/>
    <w:rsid w:val="0004180E"/>
    <w:rsid w:val="00064C7E"/>
    <w:rsid w:val="0008677A"/>
    <w:rsid w:val="00092C7C"/>
    <w:rsid w:val="00094506"/>
    <w:rsid w:val="000C0425"/>
    <w:rsid w:val="001045C1"/>
    <w:rsid w:val="0012015E"/>
    <w:rsid w:val="00130134"/>
    <w:rsid w:val="0017129B"/>
    <w:rsid w:val="001A4E2C"/>
    <w:rsid w:val="001A7911"/>
    <w:rsid w:val="001B7A6E"/>
    <w:rsid w:val="001D58A6"/>
    <w:rsid w:val="001E0038"/>
    <w:rsid w:val="001F01E0"/>
    <w:rsid w:val="00220B6B"/>
    <w:rsid w:val="002255AF"/>
    <w:rsid w:val="002740CD"/>
    <w:rsid w:val="002E2708"/>
    <w:rsid w:val="003033CD"/>
    <w:rsid w:val="00312EDB"/>
    <w:rsid w:val="00316B67"/>
    <w:rsid w:val="003333D6"/>
    <w:rsid w:val="003334D0"/>
    <w:rsid w:val="003421B9"/>
    <w:rsid w:val="00396E49"/>
    <w:rsid w:val="003A0615"/>
    <w:rsid w:val="003B0561"/>
    <w:rsid w:val="003D795F"/>
    <w:rsid w:val="003E3FAF"/>
    <w:rsid w:val="00405980"/>
    <w:rsid w:val="0046514E"/>
    <w:rsid w:val="004A2F28"/>
    <w:rsid w:val="004B4B8F"/>
    <w:rsid w:val="004C44F3"/>
    <w:rsid w:val="004D3421"/>
    <w:rsid w:val="004E21E6"/>
    <w:rsid w:val="0051025C"/>
    <w:rsid w:val="00535A71"/>
    <w:rsid w:val="00545733"/>
    <w:rsid w:val="00547B65"/>
    <w:rsid w:val="00551718"/>
    <w:rsid w:val="00554174"/>
    <w:rsid w:val="005D281F"/>
    <w:rsid w:val="005D6309"/>
    <w:rsid w:val="005E7CE4"/>
    <w:rsid w:val="005F30A6"/>
    <w:rsid w:val="006213CA"/>
    <w:rsid w:val="00624BAF"/>
    <w:rsid w:val="00624C17"/>
    <w:rsid w:val="00663742"/>
    <w:rsid w:val="006754A3"/>
    <w:rsid w:val="0068201D"/>
    <w:rsid w:val="006957F6"/>
    <w:rsid w:val="006A0770"/>
    <w:rsid w:val="006B4EC0"/>
    <w:rsid w:val="006E7DC6"/>
    <w:rsid w:val="006F0935"/>
    <w:rsid w:val="006F5845"/>
    <w:rsid w:val="007021BD"/>
    <w:rsid w:val="00705B61"/>
    <w:rsid w:val="00707043"/>
    <w:rsid w:val="00707BFB"/>
    <w:rsid w:val="00732DBC"/>
    <w:rsid w:val="00785B08"/>
    <w:rsid w:val="0079253C"/>
    <w:rsid w:val="007A6171"/>
    <w:rsid w:val="007B2495"/>
    <w:rsid w:val="007F782A"/>
    <w:rsid w:val="00821D4D"/>
    <w:rsid w:val="00842000"/>
    <w:rsid w:val="008429C2"/>
    <w:rsid w:val="00847FE0"/>
    <w:rsid w:val="00860D7B"/>
    <w:rsid w:val="00865F96"/>
    <w:rsid w:val="00871384"/>
    <w:rsid w:val="00872A41"/>
    <w:rsid w:val="008841C3"/>
    <w:rsid w:val="008933E4"/>
    <w:rsid w:val="008A1816"/>
    <w:rsid w:val="008A5E8F"/>
    <w:rsid w:val="008D3FDD"/>
    <w:rsid w:val="00933CCE"/>
    <w:rsid w:val="00937990"/>
    <w:rsid w:val="00947E0C"/>
    <w:rsid w:val="00965FF9"/>
    <w:rsid w:val="00970722"/>
    <w:rsid w:val="009766B5"/>
    <w:rsid w:val="00987BDD"/>
    <w:rsid w:val="009C65D2"/>
    <w:rsid w:val="009D50B4"/>
    <w:rsid w:val="009F4E9F"/>
    <w:rsid w:val="00A35944"/>
    <w:rsid w:val="00A44D49"/>
    <w:rsid w:val="00A4566F"/>
    <w:rsid w:val="00A62F36"/>
    <w:rsid w:val="00A717F7"/>
    <w:rsid w:val="00A7450B"/>
    <w:rsid w:val="00AA7251"/>
    <w:rsid w:val="00AC121D"/>
    <w:rsid w:val="00AC492E"/>
    <w:rsid w:val="00B41625"/>
    <w:rsid w:val="00B52DBD"/>
    <w:rsid w:val="00B53521"/>
    <w:rsid w:val="00B57F57"/>
    <w:rsid w:val="00BA0757"/>
    <w:rsid w:val="00BB6476"/>
    <w:rsid w:val="00BD225A"/>
    <w:rsid w:val="00BE0149"/>
    <w:rsid w:val="00C337A8"/>
    <w:rsid w:val="00C6608E"/>
    <w:rsid w:val="00C86A55"/>
    <w:rsid w:val="00CB3154"/>
    <w:rsid w:val="00CF093A"/>
    <w:rsid w:val="00D1287D"/>
    <w:rsid w:val="00D2406E"/>
    <w:rsid w:val="00D2743E"/>
    <w:rsid w:val="00D62449"/>
    <w:rsid w:val="00D858A6"/>
    <w:rsid w:val="00D97532"/>
    <w:rsid w:val="00DA5920"/>
    <w:rsid w:val="00DF0442"/>
    <w:rsid w:val="00E44396"/>
    <w:rsid w:val="00E76F02"/>
    <w:rsid w:val="00ED3C46"/>
    <w:rsid w:val="00EF32D2"/>
    <w:rsid w:val="00EF7408"/>
    <w:rsid w:val="00F20CBB"/>
    <w:rsid w:val="00F27647"/>
    <w:rsid w:val="00F70FA7"/>
    <w:rsid w:val="00FA4554"/>
    <w:rsid w:val="00FE03F8"/>
    <w:rsid w:val="00FF014B"/>
    <w:rsid w:val="00FF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11A5D7-EA81-440A-AF87-0EB8AF1D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D58A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7129B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B0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0561"/>
  </w:style>
  <w:style w:type="paragraph" w:styleId="a7">
    <w:name w:val="footer"/>
    <w:basedOn w:val="a"/>
    <w:link w:val="a8"/>
    <w:uiPriority w:val="99"/>
    <w:unhideWhenUsed/>
    <w:rsid w:val="003B05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05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2020-12-04T13:00:00Z</dcterms:created>
  <dcterms:modified xsi:type="dcterms:W3CDTF">2020-12-04T13:00:00Z</dcterms:modified>
</cp:coreProperties>
</file>