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45" w:rsidRDefault="00CC7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ингибитором изофермента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CC7E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7E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E45" w:rsidRDefault="00CC7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ингибитором белка транспортера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7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гликопротеина.</w:t>
      </w:r>
    </w:p>
    <w:p w:rsidR="0028705A" w:rsidRDefault="0028705A" w:rsidP="0028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</w:t>
      </w:r>
      <w:r w:rsidR="0022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89"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 w:rsidR="00220F89">
        <w:rPr>
          <w:rFonts w:ascii="Times New Roman" w:hAnsi="Times New Roman" w:cs="Times New Roman"/>
          <w:sz w:val="24"/>
          <w:szCs w:val="24"/>
        </w:rPr>
        <w:t xml:space="preserve"> сам по себе является</w:t>
      </w:r>
      <w:r>
        <w:rPr>
          <w:rFonts w:ascii="Times New Roman" w:hAnsi="Times New Roman" w:cs="Times New Roman"/>
          <w:sz w:val="24"/>
          <w:szCs w:val="24"/>
        </w:rPr>
        <w:t xml:space="preserve"> ингибитором протеазы ВИЧ (ИП).</w:t>
      </w:r>
    </w:p>
    <w:p w:rsidR="00CC7E45" w:rsidRDefault="00307849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307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7849">
        <w:rPr>
          <w:rFonts w:ascii="Times New Roman" w:hAnsi="Times New Roman" w:cs="Times New Roman"/>
          <w:sz w:val="24"/>
          <w:szCs w:val="24"/>
        </w:rPr>
        <w:t>4 –</w:t>
      </w:r>
      <w:r>
        <w:rPr>
          <w:rFonts w:ascii="Times New Roman" w:hAnsi="Times New Roman" w:cs="Times New Roman"/>
          <w:sz w:val="24"/>
          <w:szCs w:val="24"/>
        </w:rPr>
        <w:t xml:space="preserve"> белок-</w:t>
      </w:r>
      <w:r w:rsidRPr="00307849">
        <w:rPr>
          <w:rFonts w:ascii="Times New Roman" w:hAnsi="Times New Roman" w:cs="Times New Roman"/>
          <w:sz w:val="24"/>
          <w:szCs w:val="24"/>
        </w:rPr>
        <w:t>изофермент</w:t>
      </w:r>
      <w:r>
        <w:rPr>
          <w:rFonts w:ascii="Times New Roman" w:hAnsi="Times New Roman" w:cs="Times New Roman"/>
          <w:sz w:val="24"/>
          <w:szCs w:val="24"/>
        </w:rPr>
        <w:t xml:space="preserve">, который путем окисления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метаболизирует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(расщепляет и выводит из организма)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чужеродные для живых организмов химические</w:t>
      </w:r>
      <w:r w:rsidRPr="00307849">
        <w:rPr>
          <w:rStyle w:val="extended-textfull"/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а</w:t>
      </w:r>
      <w:r w:rsidR="0070488B">
        <w:rPr>
          <w:rStyle w:val="extended-textfull"/>
          <w:rFonts w:ascii="Times New Roman" w:hAnsi="Times New Roman" w:cs="Times New Roman"/>
          <w:sz w:val="24"/>
          <w:szCs w:val="24"/>
        </w:rPr>
        <w:t xml:space="preserve"> (ксенобиотики)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. Находится в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энтероцитах</w:t>
      </w:r>
      <w:proofErr w:type="spellEnd"/>
      <w:r w:rsidRPr="00307849">
        <w:rPr>
          <w:rStyle w:val="extended-textfull"/>
          <w:rFonts w:ascii="Times New Roman" w:hAnsi="Times New Roman" w:cs="Times New Roman"/>
          <w:sz w:val="24"/>
          <w:szCs w:val="24"/>
        </w:rPr>
        <w:t>, которые выстилают кишечник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гепатоцитах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печени.</w:t>
      </w:r>
    </w:p>
    <w:p w:rsidR="00307849" w:rsidRDefault="001D164E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Р-глик</w:t>
      </w:r>
      <w:r w:rsidR="00307849">
        <w:rPr>
          <w:rStyle w:val="extended-textfull"/>
          <w:rFonts w:ascii="Times New Roman" w:hAnsi="Times New Roman" w:cs="Times New Roman"/>
          <w:sz w:val="24"/>
          <w:szCs w:val="24"/>
        </w:rPr>
        <w:t>опротеин</w:t>
      </w:r>
      <w:r w:rsidRPr="001D164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(</w:t>
      </w:r>
      <w:r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PG</w:t>
      </w:r>
      <w:r w:rsidRPr="001D164E">
        <w:rPr>
          <w:rStyle w:val="extended-textfull"/>
          <w:rFonts w:ascii="Times New Roman" w:hAnsi="Times New Roman" w:cs="Times New Roman"/>
          <w:sz w:val="24"/>
          <w:szCs w:val="24"/>
        </w:rPr>
        <w:t>)</w:t>
      </w:r>
      <w:r w:rsidR="00307849">
        <w:rPr>
          <w:rStyle w:val="extended-textfull"/>
          <w:rFonts w:ascii="Times New Roman" w:hAnsi="Times New Roman" w:cs="Times New Roman"/>
          <w:sz w:val="24"/>
          <w:szCs w:val="24"/>
        </w:rPr>
        <w:t xml:space="preserve"> – </w:t>
      </w:r>
      <w:r w:rsidR="00307849" w:rsidRPr="00307849">
        <w:rPr>
          <w:rStyle w:val="extended-textfull"/>
          <w:rFonts w:ascii="Times New Roman" w:hAnsi="Times New Roman" w:cs="Times New Roman"/>
          <w:sz w:val="24"/>
          <w:szCs w:val="24"/>
        </w:rPr>
        <w:t>транспортер оттока, который может эффективно откачивать</w:t>
      </w:r>
      <w:r w:rsidR="00307849">
        <w:rPr>
          <w:rStyle w:val="extended-textfull"/>
          <w:rFonts w:ascii="Times New Roman" w:hAnsi="Times New Roman" w:cs="Times New Roman"/>
          <w:sz w:val="24"/>
          <w:szCs w:val="24"/>
        </w:rPr>
        <w:t xml:space="preserve"> лекарства из стенки кишечника</w:t>
      </w:r>
      <w:r w:rsidR="00307849" w:rsidRPr="00307849">
        <w:rPr>
          <w:rStyle w:val="extended-textfull"/>
          <w:rFonts w:ascii="Times New Roman" w:hAnsi="Times New Roman" w:cs="Times New Roman"/>
          <w:sz w:val="24"/>
          <w:szCs w:val="24"/>
        </w:rPr>
        <w:t xml:space="preserve"> обратно в просвет кишечника</w:t>
      </w:r>
      <w:r w:rsidR="00307849">
        <w:rPr>
          <w:rStyle w:val="extended-textfull"/>
          <w:rFonts w:ascii="Times New Roman" w:hAnsi="Times New Roman" w:cs="Times New Roman"/>
          <w:sz w:val="24"/>
          <w:szCs w:val="24"/>
        </w:rPr>
        <w:t>.</w:t>
      </w:r>
    </w:p>
    <w:p w:rsidR="00AB3589" w:rsidRDefault="00307849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Соответственно, лекарственные средства (как правило, чужеродны для организма), проходя, через просвет кишечника </w:t>
      </w:r>
      <w:r w:rsidR="00AB3589">
        <w:rPr>
          <w:rStyle w:val="extended-textfull"/>
          <w:rFonts w:ascii="Times New Roman" w:hAnsi="Times New Roman" w:cs="Times New Roman"/>
          <w:sz w:val="24"/>
          <w:szCs w:val="24"/>
        </w:rPr>
        <w:t>всасываются через стенку кишечника и поступают в портальную вену, которая проходит через печень, откуда лекарства поступают в системный кровоток.</w:t>
      </w:r>
    </w:p>
    <w:p w:rsidR="002D4000" w:rsidRDefault="002D4000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2E67C" wp14:editId="51600E8F">
            <wp:extent cx="6645910" cy="3058795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49" w:rsidRDefault="00AB3589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Далее лекарства циркулируют в крови человека, в том числе вновь пробегая через печень</w:t>
      </w:r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 (где естественно частично </w:t>
      </w:r>
      <w:proofErr w:type="spellStart"/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>метаболизируются</w:t>
      </w:r>
      <w:proofErr w:type="spellEnd"/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>)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, и совершают свое терапевтическое действие (например, в нашем случае, ИП попадают в лимфоциты, макрофаги и иные клетки с целью ингибирования там протеазы ВИЧ).</w:t>
      </w:r>
    </w:p>
    <w:p w:rsidR="0028705A" w:rsidRDefault="007268CB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Таким образом, например, мы «бахнули» </w:t>
      </w:r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ингибитора </w:t>
      </w:r>
      <w:r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Pr="007268CB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Pr="007268CB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Р-гликопротеина </w:t>
      </w:r>
      <w:proofErr w:type="spellStart"/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>Ритонавира</w:t>
      </w:r>
      <w:proofErr w:type="spellEnd"/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>А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тазанавиром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и получили следующее</w:t>
      </w:r>
      <w:r w:rsid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: </w:t>
      </w:r>
    </w:p>
    <w:p w:rsidR="00AB3589" w:rsidRDefault="0028705A" w:rsidP="0028705A">
      <w:pPr>
        <w:pStyle w:val="a3"/>
        <w:numPr>
          <w:ilvl w:val="0"/>
          <w:numId w:val="1"/>
        </w:numPr>
        <w:rPr>
          <w:rStyle w:val="extended-textfull"/>
          <w:rFonts w:ascii="Times New Roman" w:hAnsi="Times New Roman" w:cs="Times New Roman"/>
          <w:sz w:val="24"/>
          <w:szCs w:val="24"/>
        </w:rPr>
      </w:pPr>
      <w:proofErr w:type="spellStart"/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Атазанавир</w:t>
      </w:r>
      <w:proofErr w:type="spellEnd"/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, проходя через кишечник должен бы частично окисляться и соответственно выводиться ферментом 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4, а также частично «</w:t>
      </w:r>
      <w:proofErr w:type="spellStart"/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выпинываться</w:t>
      </w:r>
      <w:proofErr w:type="spellEnd"/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» Р-гликопротеином из стенок кишечника обратно в просвет, тем самым уменьшая </w:t>
      </w:r>
      <w:proofErr w:type="spellStart"/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 xml:space="preserve"> (количество попавшего из кишечника в кровь)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Атазанавира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>;</w:t>
      </w:r>
    </w:p>
    <w:p w:rsidR="0028705A" w:rsidRDefault="0028705A" w:rsidP="0028705A">
      <w:pPr>
        <w:pStyle w:val="a3"/>
        <w:numPr>
          <w:ilvl w:val="0"/>
          <w:numId w:val="1"/>
        </w:num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далее,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Атазанавир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должен бы, пройдя через печень, также частично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метаболизироваться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все тем же 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, тем самым в итоге еще уменьшив количество попавшего в системный кровоток лекарства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(что, естественно, отражается на величине С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>)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;</w:t>
      </w:r>
    </w:p>
    <w:p w:rsidR="0028705A" w:rsidRDefault="0028705A" w:rsidP="0028705A">
      <w:pPr>
        <w:pStyle w:val="a3"/>
        <w:numPr>
          <w:ilvl w:val="0"/>
          <w:numId w:val="1"/>
        </w:num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далее,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непрерывно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циркулируя в системном кровотоке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(в том числе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через печень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>)</w:t>
      </w:r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>Атазанавир</w:t>
      </w:r>
      <w:proofErr w:type="spellEnd"/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>, соответственно, также должен бы регулярно окисляться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в печени ферментом</w:t>
      </w:r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EA564D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="00EA564D" w:rsidRPr="00EA564D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="00EA564D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="00EA564D" w:rsidRPr="00EA564D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>, тем самым существенно уменьшая период полувыведения</w:t>
      </w:r>
      <w:r w:rsidR="001F4B9C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1F4B9C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T</w:t>
      </w:r>
      <w:r w:rsidR="001F4B9C">
        <w:rPr>
          <w:rStyle w:val="extended-textfull"/>
          <w:rFonts w:ascii="Times New Roman" w:hAnsi="Times New Roman" w:cs="Times New Roman"/>
          <w:sz w:val="24"/>
          <w:szCs w:val="24"/>
          <w:vertAlign w:val="subscript"/>
        </w:rPr>
        <w:t>1/2</w:t>
      </w:r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>Атазанавира</w:t>
      </w:r>
      <w:proofErr w:type="spellEnd"/>
      <w:r w:rsidR="00EA564D">
        <w:rPr>
          <w:rStyle w:val="extended-textfull"/>
          <w:rFonts w:ascii="Times New Roman" w:hAnsi="Times New Roman" w:cs="Times New Roman"/>
          <w:sz w:val="24"/>
          <w:szCs w:val="24"/>
        </w:rPr>
        <w:t>.</w:t>
      </w:r>
    </w:p>
    <w:p w:rsidR="00EA564D" w:rsidRDefault="00EA564D" w:rsidP="00EA564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т.к. мы с Вами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Атазановиром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ингибитор 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и Р-гликопротеина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>, то он, их ингибируя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за счет узурпации активного центра,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не дает им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(</w:t>
      </w:r>
      <w:r w:rsidR="00220F89"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="00220F89" w:rsidRPr="0028705A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="00220F89"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="00220F89" w:rsidRPr="0028705A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Р-</w:t>
      </w:r>
      <w:r w:rsidR="00220F89">
        <w:rPr>
          <w:rStyle w:val="extended-textfull"/>
          <w:rFonts w:ascii="Times New Roman" w:hAnsi="Times New Roman" w:cs="Times New Roman"/>
          <w:sz w:val="24"/>
          <w:szCs w:val="24"/>
        </w:rPr>
        <w:lastRenderedPageBreak/>
        <w:t>гликопротеину)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присоединиться к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Атазанавиру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(который является для них субстратом), тем самым увеличив и максимальную концентрацию в крови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Атазанавира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и период его полувыведения.</w:t>
      </w:r>
    </w:p>
    <w:p w:rsidR="00EA564D" w:rsidRDefault="00EA564D" w:rsidP="00EA564D">
      <w:pPr>
        <w:rPr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Причем, что интересно, как относительно недавно</w:t>
      </w:r>
      <w:r w:rsidR="00964531">
        <w:rPr>
          <w:rStyle w:val="extended-textfull"/>
          <w:rFonts w:ascii="Times New Roman" w:hAnsi="Times New Roman" w:cs="Times New Roman"/>
          <w:sz w:val="24"/>
          <w:szCs w:val="24"/>
        </w:rPr>
        <w:t xml:space="preserve"> (в 2010</w:t>
      </w:r>
      <w:r w:rsidR="00D04277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964531">
        <w:rPr>
          <w:rStyle w:val="extended-textfull"/>
          <w:rFonts w:ascii="Times New Roman" w:hAnsi="Times New Roman" w:cs="Times New Roman"/>
          <w:sz w:val="24"/>
          <w:szCs w:val="24"/>
        </w:rPr>
        <w:t>г)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, выяснили исследователи, </w:t>
      </w:r>
      <w:proofErr w:type="spellStart"/>
      <w:r w:rsidR="00BA6750">
        <w:rPr>
          <w:rStyle w:val="extended-textfull"/>
          <w:rFonts w:ascii="Times New Roman" w:hAnsi="Times New Roman" w:cs="Times New Roman"/>
          <w:sz w:val="24"/>
          <w:szCs w:val="24"/>
        </w:rPr>
        <w:t>Ритонавир</w:t>
      </w:r>
      <w:proofErr w:type="spellEnd"/>
      <w:r w:rsidR="00BA6750">
        <w:rPr>
          <w:rStyle w:val="extended-textfull"/>
          <w:rFonts w:ascii="Times New Roman" w:hAnsi="Times New Roman" w:cs="Times New Roman"/>
          <w:sz w:val="24"/>
          <w:szCs w:val="24"/>
        </w:rPr>
        <w:t xml:space="preserve"> НЕОБРАТИМО связывается с </w:t>
      </w:r>
      <w:r w:rsidR="00BA6750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="00BA6750" w:rsidRPr="00BA6750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="00BA6750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="00BA6750" w:rsidRPr="00BA6750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 w:rsidR="00BA6750">
        <w:rPr>
          <w:rStyle w:val="extended-textfull"/>
          <w:rFonts w:ascii="Times New Roman" w:hAnsi="Times New Roman" w:cs="Times New Roman"/>
          <w:sz w:val="24"/>
          <w:szCs w:val="24"/>
        </w:rPr>
        <w:t xml:space="preserve"> и не просто занимает его активный центр, но и практически сводит на нет его </w:t>
      </w:r>
      <w:proofErr w:type="spellStart"/>
      <w:r w:rsidR="00BA6750">
        <w:rPr>
          <w:rStyle w:val="extended-textfull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BA6750">
        <w:rPr>
          <w:rStyle w:val="extended-textfull"/>
          <w:rFonts w:ascii="Times New Roman" w:hAnsi="Times New Roman" w:cs="Times New Roman"/>
          <w:sz w:val="24"/>
          <w:szCs w:val="24"/>
        </w:rPr>
        <w:t>-восстановительную способность (</w:t>
      </w:r>
      <w:r w:rsidR="00BA6750">
        <w:t xml:space="preserve">PMID: </w:t>
      </w:r>
      <w:hyperlink r:id="rId6" w:history="1">
        <w:r w:rsidR="00BA6750">
          <w:rPr>
            <w:rStyle w:val="a4"/>
          </w:rPr>
          <w:t>20937904</w:t>
        </w:r>
      </w:hyperlink>
      <w:r w:rsidR="00BA6750">
        <w:t xml:space="preserve">). </w:t>
      </w:r>
      <w:r w:rsidR="00BA6750">
        <w:rPr>
          <w:rFonts w:ascii="Times New Roman" w:hAnsi="Times New Roman" w:cs="Times New Roman"/>
          <w:sz w:val="24"/>
          <w:szCs w:val="24"/>
        </w:rPr>
        <w:t xml:space="preserve">Именно поэтому (за счет необратимого связывания с </w:t>
      </w:r>
      <w:r w:rsidR="00BA6750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BA6750" w:rsidRPr="00BA6750">
        <w:rPr>
          <w:rFonts w:ascii="Times New Roman" w:hAnsi="Times New Roman" w:cs="Times New Roman"/>
          <w:sz w:val="24"/>
          <w:szCs w:val="24"/>
        </w:rPr>
        <w:t>3</w:t>
      </w:r>
      <w:r w:rsidR="00BA67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6750" w:rsidRPr="00BA6750">
        <w:rPr>
          <w:rFonts w:ascii="Times New Roman" w:hAnsi="Times New Roman" w:cs="Times New Roman"/>
          <w:sz w:val="24"/>
          <w:szCs w:val="24"/>
        </w:rPr>
        <w:t>4</w:t>
      </w:r>
      <w:r w:rsidR="00964531">
        <w:rPr>
          <w:rFonts w:ascii="Times New Roman" w:hAnsi="Times New Roman" w:cs="Times New Roman"/>
          <w:sz w:val="24"/>
          <w:szCs w:val="24"/>
        </w:rPr>
        <w:t>)</w:t>
      </w:r>
      <w:r w:rsidR="00BA6750">
        <w:rPr>
          <w:rFonts w:ascii="Times New Roman" w:hAnsi="Times New Roman" w:cs="Times New Roman"/>
          <w:sz w:val="24"/>
          <w:szCs w:val="24"/>
        </w:rPr>
        <w:t>, объясняется тот факт, что н</w:t>
      </w:r>
      <w:r w:rsidR="00253301">
        <w:rPr>
          <w:rFonts w:ascii="Times New Roman" w:hAnsi="Times New Roman" w:cs="Times New Roman"/>
          <w:sz w:val="24"/>
          <w:szCs w:val="24"/>
        </w:rPr>
        <w:t>есмотря на быстрое выведение из плазмы</w:t>
      </w:r>
      <w:r w:rsidR="00BA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50">
        <w:rPr>
          <w:rFonts w:ascii="Times New Roman" w:hAnsi="Times New Roman" w:cs="Times New Roman"/>
          <w:sz w:val="24"/>
          <w:szCs w:val="24"/>
        </w:rPr>
        <w:t>Ритонавира</w:t>
      </w:r>
      <w:proofErr w:type="spellEnd"/>
      <w:r w:rsidR="007977F4">
        <w:rPr>
          <w:rFonts w:ascii="Times New Roman" w:hAnsi="Times New Roman" w:cs="Times New Roman"/>
          <w:sz w:val="24"/>
          <w:szCs w:val="24"/>
        </w:rPr>
        <w:t xml:space="preserve"> (уже через 12-18 ч</w:t>
      </w:r>
      <w:r w:rsidR="00253301">
        <w:rPr>
          <w:rFonts w:ascii="Times New Roman" w:hAnsi="Times New Roman" w:cs="Times New Roman"/>
          <w:sz w:val="24"/>
          <w:szCs w:val="24"/>
        </w:rPr>
        <w:t>а</w:t>
      </w:r>
      <w:r w:rsidR="007977F4">
        <w:rPr>
          <w:rFonts w:ascii="Times New Roman" w:hAnsi="Times New Roman" w:cs="Times New Roman"/>
          <w:sz w:val="24"/>
          <w:szCs w:val="24"/>
        </w:rPr>
        <w:t>сов</w:t>
      </w:r>
      <w:r w:rsidR="00BA6750">
        <w:rPr>
          <w:rFonts w:ascii="Times New Roman" w:hAnsi="Times New Roman" w:cs="Times New Roman"/>
          <w:sz w:val="24"/>
          <w:szCs w:val="24"/>
        </w:rPr>
        <w:t xml:space="preserve"> детектируемые концентрации в плазме не регистрируются), его </w:t>
      </w:r>
      <w:proofErr w:type="spellStart"/>
      <w:r w:rsidR="00BA6750">
        <w:rPr>
          <w:rFonts w:ascii="Times New Roman" w:hAnsi="Times New Roman" w:cs="Times New Roman"/>
          <w:sz w:val="24"/>
          <w:szCs w:val="24"/>
        </w:rPr>
        <w:t>бустирующее</w:t>
      </w:r>
      <w:proofErr w:type="spellEnd"/>
      <w:r w:rsidR="00BA6750">
        <w:rPr>
          <w:rFonts w:ascii="Times New Roman" w:hAnsi="Times New Roman" w:cs="Times New Roman"/>
          <w:sz w:val="24"/>
          <w:szCs w:val="24"/>
        </w:rPr>
        <w:t xml:space="preserve"> действие не прекращается.</w:t>
      </w:r>
    </w:p>
    <w:p w:rsidR="00253301" w:rsidRDefault="00253301" w:rsidP="0025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данном случае используется именно в качестве ингибитора 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CYP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3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  <w:lang w:val="en-US"/>
        </w:rPr>
        <w:t>A</w:t>
      </w:r>
      <w:r w:rsidRPr="0028705A">
        <w:rPr>
          <w:rStyle w:val="extended-textfull"/>
          <w:rFonts w:ascii="Times New Roman" w:hAnsi="Times New Roman" w:cs="Times New Roman"/>
          <w:sz w:val="24"/>
          <w:szCs w:val="24"/>
        </w:rPr>
        <w:t>4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и Р-гликопротеина, а не в качестве ИП ВИЧ, то достаточно его небольшой дозировки для соответствующего блокирования процесса быстрого выведения целевых ИП (таких, как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Атазановир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>) из организма. Таким образом, здесь он используется, как бустер целевых ИП.</w:t>
      </w:r>
    </w:p>
    <w:p w:rsidR="008B4DE8" w:rsidRPr="008B4DE8" w:rsidRDefault="00E5534B" w:rsidP="00EA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</w:t>
      </w:r>
      <w:r w:rsidR="00D04277">
        <w:rPr>
          <w:rFonts w:ascii="Times New Roman" w:hAnsi="Times New Roman" w:cs="Times New Roman"/>
          <w:sz w:val="24"/>
          <w:szCs w:val="24"/>
        </w:rPr>
        <w:t xml:space="preserve"> любопытное</w:t>
      </w:r>
      <w:r w:rsidR="00A37386">
        <w:rPr>
          <w:rFonts w:ascii="Times New Roman" w:hAnsi="Times New Roman" w:cs="Times New Roman"/>
          <w:sz w:val="24"/>
          <w:szCs w:val="24"/>
        </w:rPr>
        <w:t xml:space="preserve"> противоположное ингибированию </w:t>
      </w:r>
      <w:r w:rsidR="00A37386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A37386" w:rsidRPr="00A37386">
        <w:rPr>
          <w:rFonts w:ascii="Times New Roman" w:hAnsi="Times New Roman" w:cs="Times New Roman"/>
          <w:sz w:val="24"/>
          <w:szCs w:val="24"/>
        </w:rPr>
        <w:t>3</w:t>
      </w:r>
      <w:r w:rsidR="00A373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7386" w:rsidRPr="00A37386">
        <w:rPr>
          <w:rFonts w:ascii="Times New Roman" w:hAnsi="Times New Roman" w:cs="Times New Roman"/>
          <w:sz w:val="24"/>
          <w:szCs w:val="24"/>
        </w:rPr>
        <w:t>4</w:t>
      </w:r>
      <w:r w:rsidR="00D04277">
        <w:rPr>
          <w:rFonts w:ascii="Times New Roman" w:hAnsi="Times New Roman" w:cs="Times New Roman"/>
          <w:sz w:val="24"/>
          <w:szCs w:val="24"/>
        </w:rPr>
        <w:t xml:space="preserve"> свойство </w:t>
      </w:r>
      <w:proofErr w:type="spellStart"/>
      <w:r w:rsidR="00D04277">
        <w:rPr>
          <w:rFonts w:ascii="Times New Roman" w:hAnsi="Times New Roman" w:cs="Times New Roman"/>
          <w:sz w:val="24"/>
          <w:szCs w:val="24"/>
        </w:rPr>
        <w:t>Ритонвари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(как впро</w:t>
      </w:r>
      <w:r w:rsidR="00253301">
        <w:rPr>
          <w:rFonts w:ascii="Times New Roman" w:hAnsi="Times New Roman" w:cs="Times New Roman"/>
          <w:sz w:val="24"/>
          <w:szCs w:val="24"/>
        </w:rPr>
        <w:t>чем и некоторых</w:t>
      </w:r>
      <w:r>
        <w:rPr>
          <w:rFonts w:ascii="Times New Roman" w:hAnsi="Times New Roman" w:cs="Times New Roman"/>
          <w:sz w:val="24"/>
          <w:szCs w:val="24"/>
        </w:rPr>
        <w:t xml:space="preserve"> других ингибиторов протеазы ВИЧ</w:t>
      </w:r>
      <w:r w:rsidR="005B2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D5F">
        <w:rPr>
          <w:rFonts w:ascii="Times New Roman" w:hAnsi="Times New Roman" w:cs="Times New Roman"/>
          <w:sz w:val="24"/>
          <w:szCs w:val="24"/>
        </w:rPr>
        <w:t>Эфавиренза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иных лекарств</w:t>
      </w:r>
      <w:r w:rsidR="00253301">
        <w:rPr>
          <w:rFonts w:ascii="Times New Roman" w:hAnsi="Times New Roman" w:cs="Times New Roman"/>
          <w:sz w:val="24"/>
          <w:szCs w:val="24"/>
        </w:rPr>
        <w:t xml:space="preserve"> и даже некоторых растений, типа Зверобоя)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  <w:r w:rsidR="008B4DE8">
        <w:rPr>
          <w:rFonts w:ascii="Times New Roman" w:hAnsi="Times New Roman" w:cs="Times New Roman"/>
          <w:sz w:val="24"/>
          <w:szCs w:val="24"/>
        </w:rPr>
        <w:t xml:space="preserve">он, помимо ингибирования </w:t>
      </w:r>
      <w:r w:rsidR="008B4DE8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8B4DE8" w:rsidRPr="008B4DE8">
        <w:rPr>
          <w:rFonts w:ascii="Times New Roman" w:hAnsi="Times New Roman" w:cs="Times New Roman"/>
          <w:sz w:val="24"/>
          <w:szCs w:val="24"/>
        </w:rPr>
        <w:t>3</w:t>
      </w:r>
      <w:r w:rsidR="008B4D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DE8" w:rsidRPr="008B4DE8">
        <w:rPr>
          <w:rFonts w:ascii="Times New Roman" w:hAnsi="Times New Roman" w:cs="Times New Roman"/>
          <w:sz w:val="24"/>
          <w:szCs w:val="24"/>
        </w:rPr>
        <w:t>4</w:t>
      </w:r>
      <w:r w:rsidR="00A3738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B4DE8" w:rsidRPr="008B4DE8">
        <w:rPr>
          <w:rFonts w:ascii="Times New Roman" w:hAnsi="Times New Roman" w:cs="Times New Roman"/>
          <w:sz w:val="24"/>
          <w:szCs w:val="24"/>
        </w:rPr>
        <w:t xml:space="preserve"> </w:t>
      </w:r>
      <w:r w:rsidR="008B4DE8">
        <w:rPr>
          <w:rFonts w:ascii="Times New Roman" w:hAnsi="Times New Roman" w:cs="Times New Roman"/>
          <w:sz w:val="24"/>
          <w:szCs w:val="24"/>
        </w:rPr>
        <w:t>влияет на его повышенную выработку в организме (</w:t>
      </w:r>
      <w:r w:rsidR="00A37386">
        <w:rPr>
          <w:rFonts w:ascii="Times New Roman" w:hAnsi="Times New Roman" w:cs="Times New Roman"/>
          <w:sz w:val="24"/>
          <w:szCs w:val="24"/>
        </w:rPr>
        <w:t xml:space="preserve">увеличивает </w:t>
      </w:r>
      <w:r w:rsidR="008B4DE8">
        <w:rPr>
          <w:rFonts w:ascii="Times New Roman" w:hAnsi="Times New Roman" w:cs="Times New Roman"/>
          <w:sz w:val="24"/>
          <w:szCs w:val="24"/>
        </w:rPr>
        <w:t xml:space="preserve">экспрессию гена, кодирующего фермент </w:t>
      </w:r>
      <w:r w:rsidR="008B4DE8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8B4DE8" w:rsidRPr="008B4DE8">
        <w:rPr>
          <w:rFonts w:ascii="Times New Roman" w:hAnsi="Times New Roman" w:cs="Times New Roman"/>
          <w:sz w:val="24"/>
          <w:szCs w:val="24"/>
        </w:rPr>
        <w:t>3</w:t>
      </w:r>
      <w:r w:rsidR="008B4D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DE8">
        <w:rPr>
          <w:rFonts w:ascii="Times New Roman" w:hAnsi="Times New Roman" w:cs="Times New Roman"/>
          <w:sz w:val="24"/>
          <w:szCs w:val="24"/>
        </w:rPr>
        <w:t>4).</w:t>
      </w:r>
    </w:p>
    <w:p w:rsidR="003F6F2E" w:rsidRDefault="00A37386" w:rsidP="00EA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чуть поподробнее суть этого механизма. </w:t>
      </w:r>
      <w:proofErr w:type="spellStart"/>
      <w:r w:rsidR="00E5534B">
        <w:rPr>
          <w:rFonts w:ascii="Times New Roman" w:hAnsi="Times New Roman" w:cs="Times New Roman"/>
          <w:sz w:val="24"/>
          <w:szCs w:val="24"/>
        </w:rPr>
        <w:t>Ритон</w:t>
      </w:r>
      <w:r w:rsidR="005B2D5F">
        <w:rPr>
          <w:rFonts w:ascii="Times New Roman" w:hAnsi="Times New Roman" w:cs="Times New Roman"/>
          <w:sz w:val="24"/>
          <w:szCs w:val="24"/>
        </w:rPr>
        <w:t>а</w:t>
      </w:r>
      <w:r w:rsidR="00E5534B">
        <w:rPr>
          <w:rFonts w:ascii="Times New Roman" w:hAnsi="Times New Roman" w:cs="Times New Roman"/>
          <w:sz w:val="24"/>
          <w:szCs w:val="24"/>
        </w:rPr>
        <w:t>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="00E5534B">
        <w:rPr>
          <w:rFonts w:ascii="Times New Roman" w:hAnsi="Times New Roman" w:cs="Times New Roman"/>
          <w:sz w:val="24"/>
          <w:szCs w:val="24"/>
        </w:rPr>
        <w:t>, связываясь с</w:t>
      </w:r>
      <w:r w:rsidR="00253301">
        <w:rPr>
          <w:rFonts w:ascii="Times New Roman" w:hAnsi="Times New Roman" w:cs="Times New Roman"/>
          <w:sz w:val="24"/>
          <w:szCs w:val="24"/>
        </w:rPr>
        <w:t xml:space="preserve"> </w:t>
      </w:r>
      <w:r w:rsidR="008B4DE8">
        <w:rPr>
          <w:rFonts w:ascii="Times New Roman" w:hAnsi="Times New Roman" w:cs="Times New Roman"/>
          <w:sz w:val="24"/>
          <w:szCs w:val="24"/>
        </w:rPr>
        <w:t>фактором</w:t>
      </w:r>
      <w:r w:rsidR="00E5534B">
        <w:rPr>
          <w:rFonts w:ascii="Times New Roman" w:hAnsi="Times New Roman" w:cs="Times New Roman"/>
          <w:sz w:val="24"/>
          <w:szCs w:val="24"/>
        </w:rPr>
        <w:t xml:space="preserve"> транскрипции</w:t>
      </w:r>
      <w:r w:rsidR="008B4DE8">
        <w:rPr>
          <w:rFonts w:ascii="Times New Roman" w:hAnsi="Times New Roman" w:cs="Times New Roman"/>
          <w:sz w:val="24"/>
          <w:szCs w:val="24"/>
        </w:rPr>
        <w:t xml:space="preserve"> гена </w:t>
      </w:r>
      <w:r w:rsidR="008B4DE8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8B4DE8" w:rsidRPr="008B4DE8">
        <w:rPr>
          <w:rFonts w:ascii="Times New Roman" w:hAnsi="Times New Roman" w:cs="Times New Roman"/>
          <w:sz w:val="24"/>
          <w:szCs w:val="24"/>
        </w:rPr>
        <w:t>3</w:t>
      </w:r>
      <w:r w:rsidR="008B4D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DE8" w:rsidRPr="008B4DE8">
        <w:rPr>
          <w:rFonts w:ascii="Times New Roman" w:hAnsi="Times New Roman" w:cs="Times New Roman"/>
          <w:sz w:val="24"/>
          <w:szCs w:val="24"/>
        </w:rPr>
        <w:t>4</w:t>
      </w:r>
      <w:r w:rsidR="00E5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ядерным рецептором-белком </w:t>
      </w:r>
      <w:proofErr w:type="spellStart"/>
      <w:r w:rsidR="00253301" w:rsidRPr="00253301">
        <w:rPr>
          <w:rFonts w:ascii="Times New Roman" w:hAnsi="Times New Roman" w:cs="Times New Roman"/>
          <w:sz w:val="24"/>
          <w:szCs w:val="24"/>
        </w:rPr>
        <w:t>pregnane</w:t>
      </w:r>
      <w:proofErr w:type="spellEnd"/>
      <w:r w:rsidR="00253301" w:rsidRPr="002533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53301" w:rsidRPr="00253301">
        <w:rPr>
          <w:rFonts w:ascii="Times New Roman" w:hAnsi="Times New Roman" w:cs="Times New Roman"/>
          <w:sz w:val="24"/>
          <w:szCs w:val="24"/>
        </w:rPr>
        <w:t>receptor</w:t>
      </w:r>
      <w:proofErr w:type="spellEnd"/>
      <w:r w:rsidR="00253301" w:rsidRPr="00253301">
        <w:rPr>
          <w:rFonts w:ascii="Times New Roman" w:hAnsi="Times New Roman" w:cs="Times New Roman"/>
          <w:sz w:val="24"/>
          <w:szCs w:val="24"/>
        </w:rPr>
        <w:t xml:space="preserve"> (PXR)</w:t>
      </w:r>
      <w:r w:rsidR="008B4DE8">
        <w:rPr>
          <w:rFonts w:ascii="Times New Roman" w:hAnsi="Times New Roman" w:cs="Times New Roman"/>
          <w:sz w:val="24"/>
          <w:szCs w:val="24"/>
        </w:rPr>
        <w:t>, активирует данный рецептор</w:t>
      </w:r>
      <w:r>
        <w:rPr>
          <w:rFonts w:ascii="Times New Roman" w:hAnsi="Times New Roman" w:cs="Times New Roman"/>
          <w:sz w:val="24"/>
          <w:szCs w:val="24"/>
        </w:rPr>
        <w:t>, который в свою очередь</w:t>
      </w:r>
      <w:r w:rsidR="0070488B">
        <w:rPr>
          <w:rFonts w:ascii="Times New Roman" w:hAnsi="Times New Roman" w:cs="Times New Roman"/>
          <w:sz w:val="24"/>
          <w:szCs w:val="24"/>
        </w:rPr>
        <w:t xml:space="preserve"> после активации</w:t>
      </w:r>
      <w:r>
        <w:rPr>
          <w:rFonts w:ascii="Times New Roman" w:hAnsi="Times New Roman" w:cs="Times New Roman"/>
          <w:sz w:val="24"/>
          <w:szCs w:val="24"/>
        </w:rPr>
        <w:t xml:space="preserve">, соединяется с другим ядерным рецептором-белком </w:t>
      </w:r>
      <w:proofErr w:type="spellStart"/>
      <w:r w:rsidRPr="00A37386">
        <w:rPr>
          <w:rFonts w:ascii="Times New Roman" w:hAnsi="Times New Roman" w:cs="Times New Roman"/>
          <w:sz w:val="24"/>
          <w:szCs w:val="24"/>
        </w:rPr>
        <w:t>retinoic</w:t>
      </w:r>
      <w:proofErr w:type="spellEnd"/>
      <w:r w:rsidRPr="00A3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386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A3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386">
        <w:rPr>
          <w:rFonts w:ascii="Times New Roman" w:hAnsi="Times New Roman" w:cs="Times New Roman"/>
          <w:sz w:val="24"/>
          <w:szCs w:val="24"/>
        </w:rPr>
        <w:t>receptor</w:t>
      </w:r>
      <w:proofErr w:type="spellEnd"/>
      <w:r w:rsidRPr="00A37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tooltip="Retinoid X receptor" w:history="1">
        <w:r w:rsidRPr="00A3738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RXR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образуя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гетеродиме</w:t>
      </w:r>
      <w:r w:rsidR="005B2D5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B2D5F">
        <w:rPr>
          <w:rFonts w:ascii="Times New Roman" w:hAnsi="Times New Roman" w:cs="Times New Roman"/>
          <w:sz w:val="24"/>
          <w:szCs w:val="24"/>
        </w:rPr>
        <w:t xml:space="preserve">, помимо </w:t>
      </w:r>
      <w:proofErr w:type="spellStart"/>
      <w:r w:rsidR="005B2D5F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="005B2D5F">
        <w:rPr>
          <w:rFonts w:ascii="Times New Roman" w:hAnsi="Times New Roman" w:cs="Times New Roman"/>
          <w:sz w:val="24"/>
          <w:szCs w:val="24"/>
        </w:rPr>
        <w:t xml:space="preserve">-связывающего домена (у </w:t>
      </w:r>
      <w:r w:rsidR="005B2D5F">
        <w:rPr>
          <w:rFonts w:ascii="Times New Roman" w:hAnsi="Times New Roman" w:cs="Times New Roman"/>
          <w:sz w:val="24"/>
          <w:szCs w:val="24"/>
          <w:lang w:val="en-US"/>
        </w:rPr>
        <w:t>PXR</w:t>
      </w:r>
      <w:r w:rsidR="005B2D5F" w:rsidRPr="005B2D5F">
        <w:rPr>
          <w:rFonts w:ascii="Times New Roman" w:hAnsi="Times New Roman" w:cs="Times New Roman"/>
          <w:sz w:val="24"/>
          <w:szCs w:val="24"/>
        </w:rPr>
        <w:t xml:space="preserve">) </w:t>
      </w:r>
      <w:r w:rsidR="005B2D5F">
        <w:rPr>
          <w:rFonts w:ascii="Times New Roman" w:hAnsi="Times New Roman" w:cs="Times New Roman"/>
          <w:sz w:val="24"/>
          <w:szCs w:val="24"/>
        </w:rPr>
        <w:t>имеет также ДНК-домен, за счет которого он связывается с</w:t>
      </w:r>
      <w:r w:rsidR="003F6F2E">
        <w:rPr>
          <w:rFonts w:ascii="Times New Roman" w:hAnsi="Times New Roman" w:cs="Times New Roman"/>
          <w:sz w:val="24"/>
          <w:szCs w:val="24"/>
        </w:rPr>
        <w:t xml:space="preserve"> определенной родственной ему последовательностью, являющейся по счастливому стечению обстоятельств</w:t>
      </w:r>
      <w:r w:rsidR="004E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7AA">
        <w:rPr>
          <w:rFonts w:ascii="Times New Roman" w:hAnsi="Times New Roman" w:cs="Times New Roman"/>
          <w:sz w:val="24"/>
          <w:szCs w:val="24"/>
        </w:rPr>
        <w:t>энхансером</w:t>
      </w:r>
      <w:proofErr w:type="spellEnd"/>
      <w:r w:rsidR="0070488B">
        <w:rPr>
          <w:rFonts w:ascii="Times New Roman" w:hAnsi="Times New Roman" w:cs="Times New Roman"/>
          <w:sz w:val="24"/>
          <w:szCs w:val="24"/>
        </w:rPr>
        <w:t xml:space="preserve"> (или </w:t>
      </w:r>
      <w:r w:rsidR="0070488B">
        <w:rPr>
          <w:rFonts w:ascii="Times New Roman" w:hAnsi="Times New Roman" w:cs="Times New Roman"/>
          <w:sz w:val="24"/>
          <w:szCs w:val="24"/>
          <w:lang w:val="en-US"/>
        </w:rPr>
        <w:t>xenobiotic</w:t>
      </w:r>
      <w:r w:rsidR="0070488B" w:rsidRPr="0070488B">
        <w:rPr>
          <w:rFonts w:ascii="Times New Roman" w:hAnsi="Times New Roman" w:cs="Times New Roman"/>
          <w:sz w:val="24"/>
          <w:szCs w:val="24"/>
        </w:rPr>
        <w:t xml:space="preserve"> </w:t>
      </w:r>
      <w:r w:rsidR="0070488B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70488B" w:rsidRPr="0070488B">
        <w:rPr>
          <w:rFonts w:ascii="Times New Roman" w:hAnsi="Times New Roman" w:cs="Times New Roman"/>
          <w:sz w:val="24"/>
          <w:szCs w:val="24"/>
        </w:rPr>
        <w:t xml:space="preserve"> </w:t>
      </w:r>
      <w:r w:rsidR="0070488B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70488B">
        <w:rPr>
          <w:rFonts w:ascii="Times New Roman" w:hAnsi="Times New Roman" w:cs="Times New Roman"/>
          <w:sz w:val="24"/>
          <w:szCs w:val="24"/>
        </w:rPr>
        <w:t xml:space="preserve"> </w:t>
      </w:r>
      <w:r w:rsidR="0070488B">
        <w:rPr>
          <w:rFonts w:ascii="Times New Roman" w:hAnsi="Times New Roman" w:cs="Times New Roman"/>
          <w:sz w:val="24"/>
          <w:szCs w:val="24"/>
          <w:lang w:val="en-US"/>
        </w:rPr>
        <w:t>XRE</w:t>
      </w:r>
      <w:r w:rsidR="0070488B">
        <w:rPr>
          <w:rFonts w:ascii="Times New Roman" w:hAnsi="Times New Roman" w:cs="Times New Roman"/>
          <w:sz w:val="24"/>
          <w:szCs w:val="24"/>
        </w:rPr>
        <w:t>)</w:t>
      </w:r>
      <w:r w:rsidR="003F6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F2E">
        <w:rPr>
          <w:rFonts w:ascii="Times New Roman" w:hAnsi="Times New Roman" w:cs="Times New Roman"/>
          <w:sz w:val="24"/>
          <w:szCs w:val="24"/>
        </w:rPr>
        <w:t>Энхансер</w:t>
      </w:r>
      <w:proofErr w:type="spellEnd"/>
      <w:r w:rsidR="003F6F2E">
        <w:rPr>
          <w:rFonts w:ascii="Times New Roman" w:hAnsi="Times New Roman" w:cs="Times New Roman"/>
          <w:sz w:val="24"/>
          <w:szCs w:val="24"/>
        </w:rPr>
        <w:t xml:space="preserve"> – это определенный участок ДНК, который находится на определенном расстоянии от целевого гена и, соответственно его промотора (особая последовательность нуклеотидов, которая является стартовой для начала транскрипции какого-либо гена), который связываясь с различными белками-активаторами сближается с промотором целевого гена и тем самым привлекает другие транскрипционные </w:t>
      </w:r>
      <w:proofErr w:type="spellStart"/>
      <w:r w:rsidR="003F6F2E">
        <w:rPr>
          <w:rFonts w:ascii="Times New Roman" w:hAnsi="Times New Roman" w:cs="Times New Roman"/>
          <w:sz w:val="24"/>
          <w:szCs w:val="24"/>
        </w:rPr>
        <w:t>кофакторы</w:t>
      </w:r>
      <w:proofErr w:type="spellEnd"/>
      <w:r w:rsidR="003F6F2E">
        <w:rPr>
          <w:rFonts w:ascii="Times New Roman" w:hAnsi="Times New Roman" w:cs="Times New Roman"/>
          <w:sz w:val="24"/>
          <w:szCs w:val="24"/>
        </w:rPr>
        <w:t xml:space="preserve"> и факторы инициации транскрипции, привлекая тем самым РНК-полимеразу и инициируя транскрипцию целевого гена. </w:t>
      </w:r>
    </w:p>
    <w:p w:rsidR="001D164E" w:rsidRDefault="001D164E" w:rsidP="001D1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5600" cy="37476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2E" w:rsidRDefault="003F6F2E" w:rsidP="001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связываясь с </w:t>
      </w:r>
      <w:r>
        <w:rPr>
          <w:rFonts w:ascii="Times New Roman" w:hAnsi="Times New Roman" w:cs="Times New Roman"/>
          <w:sz w:val="24"/>
          <w:szCs w:val="24"/>
          <w:lang w:val="en-US"/>
        </w:rPr>
        <w:t>PXR</w:t>
      </w:r>
      <w:r>
        <w:rPr>
          <w:rFonts w:ascii="Times New Roman" w:hAnsi="Times New Roman" w:cs="Times New Roman"/>
          <w:sz w:val="24"/>
          <w:szCs w:val="24"/>
        </w:rPr>
        <w:t xml:space="preserve"> и активируя его</w:t>
      </w:r>
      <w:r w:rsidR="00E46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самым увеличивает транскрипцию гена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3F6F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60ED">
        <w:rPr>
          <w:rFonts w:ascii="Times New Roman" w:hAnsi="Times New Roman" w:cs="Times New Roman"/>
          <w:sz w:val="24"/>
          <w:szCs w:val="24"/>
        </w:rPr>
        <w:t xml:space="preserve">4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соответстенно</w:t>
      </w:r>
      <w:proofErr w:type="spellEnd"/>
      <w:r w:rsidR="00E46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продукцию.</w:t>
      </w:r>
    </w:p>
    <w:p w:rsidR="001D164E" w:rsidRDefault="001D164E" w:rsidP="001D1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184B48" wp14:editId="2F1C9AC8">
            <wp:extent cx="5343525" cy="3590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5F" w:rsidRDefault="00862052" w:rsidP="00EA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Интересное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АРВП на индукцию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8620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205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(увеличение его продукции) можно продемонстрировать на двух следующих примерах:</w:t>
      </w:r>
    </w:p>
    <w:p w:rsidR="009230F7" w:rsidRDefault="00F71791" w:rsidP="00862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Разберем комбинацию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Эфавиренца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862052" w:rsidRPr="00862052">
        <w:rPr>
          <w:rFonts w:ascii="Times New Roman" w:hAnsi="Times New Roman" w:cs="Times New Roman"/>
          <w:sz w:val="24"/>
          <w:szCs w:val="24"/>
        </w:rPr>
        <w:t>опина</w:t>
      </w:r>
      <w:r>
        <w:rPr>
          <w:rFonts w:ascii="Times New Roman" w:hAnsi="Times New Roman" w:cs="Times New Roman"/>
          <w:sz w:val="24"/>
          <w:szCs w:val="24"/>
        </w:rPr>
        <w:t>виром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r w:rsidR="009230F7">
        <w:rPr>
          <w:rFonts w:ascii="Times New Roman" w:hAnsi="Times New Roman" w:cs="Times New Roman"/>
          <w:sz w:val="24"/>
          <w:szCs w:val="24"/>
        </w:rPr>
        <w:t>тонавиром</w:t>
      </w:r>
      <w:proofErr w:type="spellEnd"/>
      <w:r w:rsidR="009230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30F7">
        <w:rPr>
          <w:rFonts w:ascii="Times New Roman" w:hAnsi="Times New Roman" w:cs="Times New Roman"/>
          <w:sz w:val="24"/>
          <w:szCs w:val="24"/>
        </w:rPr>
        <w:t>Калетра</w:t>
      </w:r>
      <w:proofErr w:type="spellEnd"/>
      <w:r w:rsidR="009230F7">
        <w:rPr>
          <w:rFonts w:ascii="Times New Roman" w:hAnsi="Times New Roman" w:cs="Times New Roman"/>
          <w:sz w:val="24"/>
          <w:szCs w:val="24"/>
        </w:rPr>
        <w:t>).</w:t>
      </w:r>
    </w:p>
    <w:p w:rsidR="009230F7" w:rsidRDefault="009230F7" w:rsidP="009230F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Эфавиренз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индуктором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23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30F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(т.е. увеличивает его продукцию)</w:t>
      </w:r>
    </w:p>
    <w:p w:rsidR="009230F7" w:rsidRPr="009230F7" w:rsidRDefault="009230F7" w:rsidP="009230F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Лопинавир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как ингибитором, так и индуктором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23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30F7">
        <w:rPr>
          <w:rFonts w:ascii="Times New Roman" w:hAnsi="Times New Roman" w:cs="Times New Roman"/>
          <w:sz w:val="24"/>
          <w:szCs w:val="24"/>
        </w:rPr>
        <w:t>4</w:t>
      </w:r>
    </w:p>
    <w:p w:rsidR="009230F7" w:rsidRPr="009230F7" w:rsidRDefault="009230F7" w:rsidP="009230F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71791">
        <w:rPr>
          <w:rFonts w:ascii="Times New Roman" w:hAnsi="Times New Roman" w:cs="Times New Roman"/>
          <w:sz w:val="24"/>
          <w:szCs w:val="24"/>
        </w:rPr>
        <w:t xml:space="preserve"> основным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иингибитором</w:t>
      </w:r>
      <w:proofErr w:type="spellEnd"/>
      <w:r w:rsidR="00F71791">
        <w:rPr>
          <w:rFonts w:ascii="Times New Roman" w:hAnsi="Times New Roman" w:cs="Times New Roman"/>
          <w:sz w:val="24"/>
          <w:szCs w:val="24"/>
        </w:rPr>
        <w:t xml:space="preserve"> </w:t>
      </w:r>
      <w:r w:rsidR="00F71791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F71791" w:rsidRPr="009230F7">
        <w:rPr>
          <w:rFonts w:ascii="Times New Roman" w:hAnsi="Times New Roman" w:cs="Times New Roman"/>
          <w:sz w:val="24"/>
          <w:szCs w:val="24"/>
        </w:rPr>
        <w:t>3</w:t>
      </w:r>
      <w:r w:rsidR="00F717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1791" w:rsidRPr="009230F7">
        <w:rPr>
          <w:rFonts w:ascii="Times New Roman" w:hAnsi="Times New Roman" w:cs="Times New Roman"/>
          <w:sz w:val="24"/>
          <w:szCs w:val="24"/>
        </w:rPr>
        <w:t>4</w:t>
      </w:r>
      <w:r w:rsidR="00F71791">
        <w:rPr>
          <w:rFonts w:ascii="Times New Roman" w:hAnsi="Times New Roman" w:cs="Times New Roman"/>
          <w:sz w:val="24"/>
          <w:szCs w:val="24"/>
        </w:rPr>
        <w:t xml:space="preserve"> и его частичным индуктором.</w:t>
      </w:r>
    </w:p>
    <w:p w:rsidR="00862052" w:rsidRDefault="00862052" w:rsidP="009230F7">
      <w:pPr>
        <w:ind w:left="360"/>
        <w:rPr>
          <w:rFonts w:ascii="Times New Roman" w:hAnsi="Times New Roman" w:cs="Times New Roman"/>
          <w:sz w:val="24"/>
          <w:szCs w:val="24"/>
        </w:rPr>
      </w:pPr>
      <w:r w:rsidRPr="009230F7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Э</w:t>
      </w:r>
      <w:r w:rsidRPr="009230F7">
        <w:rPr>
          <w:rFonts w:ascii="Times New Roman" w:hAnsi="Times New Roman" w:cs="Times New Roman"/>
          <w:sz w:val="24"/>
          <w:szCs w:val="24"/>
        </w:rPr>
        <w:t>фави</w:t>
      </w:r>
      <w:r w:rsidR="00F71791">
        <w:rPr>
          <w:rFonts w:ascii="Times New Roman" w:hAnsi="Times New Roman" w:cs="Times New Roman"/>
          <w:sz w:val="24"/>
          <w:szCs w:val="24"/>
        </w:rPr>
        <w:t>ренз</w:t>
      </w:r>
      <w:proofErr w:type="spellEnd"/>
      <w:r w:rsidR="00F71791">
        <w:rPr>
          <w:rFonts w:ascii="Times New Roman" w:hAnsi="Times New Roman" w:cs="Times New Roman"/>
          <w:sz w:val="24"/>
          <w:szCs w:val="24"/>
        </w:rPr>
        <w:t xml:space="preserve"> добавляется к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Л</w:t>
      </w:r>
      <w:r w:rsidRPr="009230F7">
        <w:rPr>
          <w:rFonts w:ascii="Times New Roman" w:hAnsi="Times New Roman" w:cs="Times New Roman"/>
          <w:sz w:val="24"/>
          <w:szCs w:val="24"/>
        </w:rPr>
        <w:t>опинавиру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Р</w:t>
      </w:r>
      <w:r w:rsidRPr="009230F7">
        <w:rPr>
          <w:rFonts w:ascii="Times New Roman" w:hAnsi="Times New Roman" w:cs="Times New Roman"/>
          <w:sz w:val="24"/>
          <w:szCs w:val="24"/>
        </w:rPr>
        <w:t>итонавиру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>, экспозиция (</w:t>
      </w:r>
      <w:r w:rsidRPr="009230F7"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9230F7">
        <w:rPr>
          <w:rFonts w:ascii="Times New Roman" w:hAnsi="Times New Roman" w:cs="Times New Roman"/>
          <w:sz w:val="24"/>
          <w:szCs w:val="24"/>
        </w:rPr>
        <w:t>)</w:t>
      </w:r>
      <w:r w:rsidR="00F7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Л</w:t>
      </w:r>
      <w:r w:rsidRPr="009230F7">
        <w:rPr>
          <w:rFonts w:ascii="Times New Roman" w:hAnsi="Times New Roman" w:cs="Times New Roman"/>
          <w:sz w:val="24"/>
          <w:szCs w:val="24"/>
        </w:rPr>
        <w:t>опинавира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 xml:space="preserve"> уменьшается примерно на 20%, а концентрация через определенное время C</w:t>
      </w:r>
      <w:r w:rsidRPr="009230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9230F7">
        <w:rPr>
          <w:rFonts w:ascii="Times New Roman" w:hAnsi="Times New Roman" w:cs="Times New Roman"/>
          <w:sz w:val="24"/>
          <w:szCs w:val="24"/>
        </w:rPr>
        <w:t xml:space="preserve"> уменьшается примерно на треть. Но если мы добавим еще одну капсулу </w:t>
      </w:r>
      <w:proofErr w:type="spellStart"/>
      <w:r w:rsidRPr="009230F7">
        <w:rPr>
          <w:rFonts w:ascii="Times New Roman" w:hAnsi="Times New Roman" w:cs="Times New Roman"/>
          <w:sz w:val="24"/>
          <w:szCs w:val="24"/>
        </w:rPr>
        <w:t>Калетры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>, которая составляет всего</w:t>
      </w:r>
      <w:r w:rsidR="00F71791">
        <w:rPr>
          <w:rFonts w:ascii="Times New Roman" w:hAnsi="Times New Roman" w:cs="Times New Roman"/>
          <w:sz w:val="24"/>
          <w:szCs w:val="24"/>
        </w:rPr>
        <w:t xml:space="preserve"> 33 дополнительных миллиграмма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Р</w:t>
      </w:r>
      <w:r w:rsidRPr="009230F7">
        <w:rPr>
          <w:rFonts w:ascii="Times New Roman" w:hAnsi="Times New Roman" w:cs="Times New Roman"/>
          <w:sz w:val="24"/>
          <w:szCs w:val="24"/>
        </w:rPr>
        <w:t>итонавира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>, эффект будет обратным. Можно бы предположить, что</w:t>
      </w:r>
      <w:r w:rsidR="009230F7" w:rsidRPr="009230F7">
        <w:rPr>
          <w:rFonts w:ascii="Times New Roman" w:hAnsi="Times New Roman" w:cs="Times New Roman"/>
          <w:sz w:val="24"/>
          <w:szCs w:val="24"/>
        </w:rPr>
        <w:t xml:space="preserve"> это происходит из-за уменьшения выведения из организма</w:t>
      </w:r>
      <w:r w:rsidR="00F7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Л</w:t>
      </w:r>
      <w:r w:rsidR="009230F7" w:rsidRPr="009230F7">
        <w:rPr>
          <w:rFonts w:ascii="Times New Roman" w:hAnsi="Times New Roman" w:cs="Times New Roman"/>
          <w:sz w:val="24"/>
          <w:szCs w:val="24"/>
        </w:rPr>
        <w:t>опинавира</w:t>
      </w:r>
      <w:proofErr w:type="spellEnd"/>
      <w:r w:rsidR="009230F7" w:rsidRPr="009230F7">
        <w:rPr>
          <w:rFonts w:ascii="Times New Roman" w:hAnsi="Times New Roman" w:cs="Times New Roman"/>
          <w:sz w:val="24"/>
          <w:szCs w:val="24"/>
        </w:rPr>
        <w:t xml:space="preserve"> за счет ингибирования </w:t>
      </w:r>
      <w:r w:rsidR="009230F7" w:rsidRPr="009230F7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9230F7" w:rsidRPr="009230F7">
        <w:rPr>
          <w:rFonts w:ascii="Times New Roman" w:hAnsi="Times New Roman" w:cs="Times New Roman"/>
          <w:sz w:val="24"/>
          <w:szCs w:val="24"/>
        </w:rPr>
        <w:t>3</w:t>
      </w:r>
      <w:r w:rsidR="009230F7" w:rsidRPr="009230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30F7" w:rsidRPr="009230F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Р</w:t>
      </w:r>
      <w:r w:rsidR="009230F7" w:rsidRPr="009230F7">
        <w:rPr>
          <w:rFonts w:ascii="Times New Roman" w:hAnsi="Times New Roman" w:cs="Times New Roman"/>
          <w:sz w:val="24"/>
          <w:szCs w:val="24"/>
        </w:rPr>
        <w:t>итонавиром</w:t>
      </w:r>
      <w:proofErr w:type="spellEnd"/>
      <w:r w:rsidR="009230F7" w:rsidRPr="009230F7">
        <w:rPr>
          <w:rFonts w:ascii="Times New Roman" w:hAnsi="Times New Roman" w:cs="Times New Roman"/>
          <w:sz w:val="24"/>
          <w:szCs w:val="24"/>
        </w:rPr>
        <w:t xml:space="preserve">. </w:t>
      </w:r>
      <w:r w:rsidRPr="009230F7">
        <w:rPr>
          <w:rFonts w:ascii="Times New Roman" w:hAnsi="Times New Roman" w:cs="Times New Roman"/>
          <w:sz w:val="24"/>
          <w:szCs w:val="24"/>
        </w:rPr>
        <w:t>Однако столь незначительное уве</w:t>
      </w:r>
      <w:r w:rsidR="00F71791">
        <w:rPr>
          <w:rFonts w:ascii="Times New Roman" w:hAnsi="Times New Roman" w:cs="Times New Roman"/>
          <w:sz w:val="24"/>
          <w:szCs w:val="24"/>
        </w:rPr>
        <w:t xml:space="preserve">личение дозы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Р</w:t>
      </w:r>
      <w:r w:rsidRPr="009230F7">
        <w:rPr>
          <w:rFonts w:ascii="Times New Roman" w:hAnsi="Times New Roman" w:cs="Times New Roman"/>
          <w:sz w:val="24"/>
          <w:szCs w:val="24"/>
        </w:rPr>
        <w:t>итонавира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 xml:space="preserve"> вряд ли объясняет столь значи</w:t>
      </w:r>
      <w:r w:rsidR="00F71791">
        <w:rPr>
          <w:rFonts w:ascii="Times New Roman" w:hAnsi="Times New Roman" w:cs="Times New Roman"/>
          <w:sz w:val="24"/>
          <w:szCs w:val="24"/>
        </w:rPr>
        <w:t xml:space="preserve">тельное изменение концентрации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Л</w:t>
      </w:r>
      <w:r w:rsidRPr="009230F7">
        <w:rPr>
          <w:rFonts w:ascii="Times New Roman" w:hAnsi="Times New Roman" w:cs="Times New Roman"/>
          <w:sz w:val="24"/>
          <w:szCs w:val="24"/>
        </w:rPr>
        <w:t>опинавира</w:t>
      </w:r>
      <w:proofErr w:type="spellEnd"/>
      <w:r w:rsidRPr="009230F7">
        <w:rPr>
          <w:rFonts w:ascii="Times New Roman" w:hAnsi="Times New Roman" w:cs="Times New Roman"/>
          <w:sz w:val="24"/>
          <w:szCs w:val="24"/>
        </w:rPr>
        <w:t>.</w:t>
      </w:r>
      <w:r w:rsidR="009230F7" w:rsidRPr="009230F7">
        <w:rPr>
          <w:rFonts w:ascii="Times New Roman" w:hAnsi="Times New Roman" w:cs="Times New Roman"/>
          <w:sz w:val="24"/>
          <w:szCs w:val="24"/>
        </w:rPr>
        <w:t xml:space="preserve"> Стало быть, данное явление вызвано конкуренцией за связывание </w:t>
      </w:r>
      <w:r w:rsidR="009230F7" w:rsidRPr="009230F7">
        <w:rPr>
          <w:rFonts w:ascii="Times New Roman" w:hAnsi="Times New Roman" w:cs="Times New Roman"/>
          <w:sz w:val="24"/>
          <w:szCs w:val="24"/>
          <w:lang w:val="en-US"/>
        </w:rPr>
        <w:t>PXR</w:t>
      </w:r>
      <w:r w:rsidRPr="009230F7">
        <w:rPr>
          <w:rFonts w:ascii="Times New Roman" w:hAnsi="Times New Roman" w:cs="Times New Roman"/>
          <w:sz w:val="24"/>
          <w:szCs w:val="24"/>
        </w:rPr>
        <w:t>, приводящей к снижению индукции</w:t>
      </w:r>
      <w:r w:rsidR="009230F7" w:rsidRPr="009230F7">
        <w:rPr>
          <w:rFonts w:ascii="Times New Roman" w:hAnsi="Times New Roman" w:cs="Times New Roman"/>
          <w:sz w:val="24"/>
          <w:szCs w:val="24"/>
        </w:rPr>
        <w:t xml:space="preserve"> (выработки</w:t>
      </w:r>
      <w:r w:rsidR="00F71791">
        <w:rPr>
          <w:rFonts w:ascii="Times New Roman" w:hAnsi="Times New Roman" w:cs="Times New Roman"/>
          <w:sz w:val="24"/>
          <w:szCs w:val="24"/>
        </w:rPr>
        <w:t xml:space="preserve"> организмом</w:t>
      </w:r>
      <w:r w:rsidR="009230F7" w:rsidRPr="009230F7">
        <w:rPr>
          <w:rFonts w:ascii="Times New Roman" w:hAnsi="Times New Roman" w:cs="Times New Roman"/>
          <w:sz w:val="24"/>
          <w:szCs w:val="24"/>
        </w:rPr>
        <w:t>)</w:t>
      </w:r>
      <w:r w:rsidRPr="009230F7">
        <w:rPr>
          <w:rFonts w:ascii="Times New Roman" w:hAnsi="Times New Roman" w:cs="Times New Roman"/>
          <w:sz w:val="24"/>
          <w:szCs w:val="24"/>
        </w:rPr>
        <w:t xml:space="preserve"> фермента, а не к усилен</w:t>
      </w:r>
      <w:r w:rsidR="009230F7" w:rsidRPr="009230F7">
        <w:rPr>
          <w:rFonts w:ascii="Times New Roman" w:hAnsi="Times New Roman" w:cs="Times New Roman"/>
          <w:sz w:val="24"/>
          <w:szCs w:val="24"/>
        </w:rPr>
        <w:t>ию ингибировани</w:t>
      </w:r>
      <w:r w:rsidR="00F7179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71791">
        <w:rPr>
          <w:rFonts w:ascii="Times New Roman" w:hAnsi="Times New Roman" w:cs="Times New Roman"/>
          <w:sz w:val="24"/>
          <w:szCs w:val="24"/>
        </w:rPr>
        <w:t>Р</w:t>
      </w:r>
      <w:r w:rsidR="009230F7" w:rsidRPr="009230F7">
        <w:rPr>
          <w:rFonts w:ascii="Times New Roman" w:hAnsi="Times New Roman" w:cs="Times New Roman"/>
          <w:sz w:val="24"/>
          <w:szCs w:val="24"/>
        </w:rPr>
        <w:t>итонавиром</w:t>
      </w:r>
      <w:proofErr w:type="spellEnd"/>
      <w:r w:rsidR="009230F7" w:rsidRPr="009230F7">
        <w:rPr>
          <w:rFonts w:ascii="Times New Roman" w:hAnsi="Times New Roman" w:cs="Times New Roman"/>
          <w:sz w:val="24"/>
          <w:szCs w:val="24"/>
        </w:rPr>
        <w:t xml:space="preserve"> </w:t>
      </w:r>
      <w:r w:rsidR="009230F7" w:rsidRPr="009230F7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230F7">
        <w:rPr>
          <w:rFonts w:ascii="Times New Roman" w:hAnsi="Times New Roman" w:cs="Times New Roman"/>
          <w:sz w:val="24"/>
          <w:szCs w:val="24"/>
        </w:rPr>
        <w:t>3A4.”</w:t>
      </w:r>
    </w:p>
    <w:p w:rsidR="00F71791" w:rsidRDefault="00F71791" w:rsidP="00F71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пример это сравнение 2-х комбинаций: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Ампренавир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(750мг + 400мг/100мг)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Ампренавир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(600мг/100мг дважды в день).</w:t>
      </w:r>
    </w:p>
    <w:p w:rsidR="001D164E" w:rsidRDefault="001D164E" w:rsidP="001D16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94C6CD" wp14:editId="36C7CDC6">
            <wp:extent cx="5114925" cy="3876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EE" w:rsidRDefault="002D3AEE" w:rsidP="00F717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D3AEE" w:rsidRPr="009230F7" w:rsidRDefault="002D3AEE" w:rsidP="002D3AE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Ампренавир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частичным ингибитором и индуктором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23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30F7">
        <w:rPr>
          <w:rFonts w:ascii="Times New Roman" w:hAnsi="Times New Roman" w:cs="Times New Roman"/>
          <w:sz w:val="24"/>
          <w:szCs w:val="24"/>
        </w:rPr>
        <w:t>4</w:t>
      </w:r>
    </w:p>
    <w:p w:rsidR="002D3AEE" w:rsidRPr="009230F7" w:rsidRDefault="002D3AEE" w:rsidP="002D3AE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Лопинавир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как ингибитором, так и индуктором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23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30F7">
        <w:rPr>
          <w:rFonts w:ascii="Times New Roman" w:hAnsi="Times New Roman" w:cs="Times New Roman"/>
          <w:sz w:val="24"/>
          <w:szCs w:val="24"/>
        </w:rPr>
        <w:t>4</w:t>
      </w:r>
    </w:p>
    <w:p w:rsidR="002D3AEE" w:rsidRPr="009230F7" w:rsidRDefault="002D3AEE" w:rsidP="002D3AE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основным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иингибитором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230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30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его частичным индуктором.</w:t>
      </w:r>
    </w:p>
    <w:p w:rsidR="00F71791" w:rsidRDefault="00F71791" w:rsidP="00F717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здесь мы видим, что концентрации и экспозиция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Ампренавира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тройной схеме значительно ниже в тройной схеме, с повышенным содержанием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Ампренавира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дополнительным введением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Лопинавира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Здесь можно бы предположить, что данное явление вызвано увеличением индукции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F717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1791">
        <w:rPr>
          <w:rFonts w:ascii="Times New Roman" w:hAnsi="Times New Roman" w:cs="Times New Roman"/>
          <w:sz w:val="24"/>
          <w:szCs w:val="24"/>
        </w:rPr>
        <w:t>4</w:t>
      </w:r>
      <w:r w:rsidR="007D14E4">
        <w:rPr>
          <w:rFonts w:ascii="Times New Roman" w:hAnsi="Times New Roman" w:cs="Times New Roman"/>
          <w:sz w:val="24"/>
          <w:szCs w:val="24"/>
        </w:rPr>
        <w:t xml:space="preserve"> за счет увеличения дозы </w:t>
      </w:r>
      <w:proofErr w:type="spellStart"/>
      <w:r w:rsidR="007D14E4">
        <w:rPr>
          <w:rFonts w:ascii="Times New Roman" w:hAnsi="Times New Roman" w:cs="Times New Roman"/>
          <w:sz w:val="24"/>
          <w:szCs w:val="24"/>
        </w:rPr>
        <w:t>Ампренавира</w:t>
      </w:r>
      <w:proofErr w:type="spellEnd"/>
      <w:r w:rsidR="007D14E4">
        <w:rPr>
          <w:rFonts w:ascii="Times New Roman" w:hAnsi="Times New Roman" w:cs="Times New Roman"/>
          <w:sz w:val="24"/>
          <w:szCs w:val="24"/>
        </w:rPr>
        <w:t>. Но т.к.</w:t>
      </w:r>
      <w:r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7D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E4">
        <w:rPr>
          <w:rFonts w:ascii="Times New Roman" w:hAnsi="Times New Roman" w:cs="Times New Roman"/>
          <w:sz w:val="24"/>
          <w:szCs w:val="24"/>
        </w:rPr>
        <w:t>Ампренавира</w:t>
      </w:r>
      <w:proofErr w:type="spellEnd"/>
      <w:r w:rsidR="007D14E4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EE">
        <w:rPr>
          <w:rFonts w:ascii="Times New Roman" w:hAnsi="Times New Roman" w:cs="Times New Roman"/>
          <w:sz w:val="24"/>
          <w:szCs w:val="24"/>
        </w:rPr>
        <w:t xml:space="preserve">невелико (150мг), </w:t>
      </w:r>
      <w:r w:rsidR="007D14E4">
        <w:rPr>
          <w:rFonts w:ascii="Times New Roman" w:hAnsi="Times New Roman" w:cs="Times New Roman"/>
          <w:sz w:val="24"/>
          <w:szCs w:val="24"/>
        </w:rPr>
        <w:t xml:space="preserve">то, стало быть, скорее всего повлияло дополнительное введение 400мг другого индуктора </w:t>
      </w:r>
      <w:r w:rsidR="007D14E4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7D14E4" w:rsidRPr="007D14E4">
        <w:rPr>
          <w:rFonts w:ascii="Times New Roman" w:hAnsi="Times New Roman" w:cs="Times New Roman"/>
          <w:sz w:val="24"/>
          <w:szCs w:val="24"/>
        </w:rPr>
        <w:t>3</w:t>
      </w:r>
      <w:r w:rsidR="007D14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14E4">
        <w:rPr>
          <w:rFonts w:ascii="Times New Roman" w:hAnsi="Times New Roman" w:cs="Times New Roman"/>
          <w:sz w:val="24"/>
          <w:szCs w:val="24"/>
        </w:rPr>
        <w:t xml:space="preserve">4. </w:t>
      </w:r>
      <w:r w:rsidR="007D14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D3AEE">
        <w:rPr>
          <w:rFonts w:ascii="Times New Roman" w:hAnsi="Times New Roman" w:cs="Times New Roman"/>
          <w:sz w:val="24"/>
          <w:szCs w:val="24"/>
        </w:rPr>
        <w:t>оответственно</w:t>
      </w:r>
      <w:proofErr w:type="spellEnd"/>
      <w:r w:rsidR="002D3AEE">
        <w:rPr>
          <w:rFonts w:ascii="Times New Roman" w:hAnsi="Times New Roman" w:cs="Times New Roman"/>
          <w:sz w:val="24"/>
          <w:szCs w:val="24"/>
        </w:rPr>
        <w:t xml:space="preserve">, можно предположить, что понижение концентраций и экспозиции </w:t>
      </w:r>
      <w:proofErr w:type="spellStart"/>
      <w:r w:rsidR="002D3AEE">
        <w:rPr>
          <w:rFonts w:ascii="Times New Roman" w:hAnsi="Times New Roman" w:cs="Times New Roman"/>
          <w:sz w:val="24"/>
          <w:szCs w:val="24"/>
        </w:rPr>
        <w:t>Ампренавира</w:t>
      </w:r>
      <w:proofErr w:type="spellEnd"/>
      <w:r w:rsidR="002D3AEE">
        <w:rPr>
          <w:rFonts w:ascii="Times New Roman" w:hAnsi="Times New Roman" w:cs="Times New Roman"/>
          <w:sz w:val="24"/>
          <w:szCs w:val="24"/>
        </w:rPr>
        <w:t xml:space="preserve"> в крови вызвано, скорее, </w:t>
      </w:r>
      <w:proofErr w:type="spellStart"/>
      <w:r w:rsidR="002D3AEE">
        <w:rPr>
          <w:rFonts w:ascii="Times New Roman" w:hAnsi="Times New Roman" w:cs="Times New Roman"/>
          <w:sz w:val="24"/>
          <w:szCs w:val="24"/>
        </w:rPr>
        <w:t>синергичным</w:t>
      </w:r>
      <w:proofErr w:type="spellEnd"/>
      <w:r w:rsidR="002D3AEE">
        <w:rPr>
          <w:rFonts w:ascii="Times New Roman" w:hAnsi="Times New Roman" w:cs="Times New Roman"/>
          <w:sz w:val="24"/>
          <w:szCs w:val="24"/>
        </w:rPr>
        <w:t xml:space="preserve"> (взаимно усиливающим) воздействием всех трех препаратов на </w:t>
      </w:r>
      <w:r w:rsidR="002D3AEE">
        <w:rPr>
          <w:rFonts w:ascii="Times New Roman" w:hAnsi="Times New Roman" w:cs="Times New Roman"/>
          <w:sz w:val="24"/>
          <w:szCs w:val="24"/>
          <w:lang w:val="en-US"/>
        </w:rPr>
        <w:t>PXR</w:t>
      </w:r>
      <w:r w:rsidR="002D3AEE">
        <w:rPr>
          <w:rFonts w:ascii="Times New Roman" w:hAnsi="Times New Roman" w:cs="Times New Roman"/>
          <w:sz w:val="24"/>
          <w:szCs w:val="24"/>
        </w:rPr>
        <w:t xml:space="preserve"> и</w:t>
      </w:r>
      <w:r w:rsidR="007234B7">
        <w:rPr>
          <w:rFonts w:ascii="Times New Roman" w:hAnsi="Times New Roman" w:cs="Times New Roman"/>
          <w:sz w:val="24"/>
          <w:szCs w:val="24"/>
        </w:rPr>
        <w:t>,</w:t>
      </w:r>
      <w:r w:rsidR="002D3AEE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7234B7">
        <w:rPr>
          <w:rFonts w:ascii="Times New Roman" w:hAnsi="Times New Roman" w:cs="Times New Roman"/>
          <w:sz w:val="24"/>
          <w:szCs w:val="24"/>
        </w:rPr>
        <w:t>,</w:t>
      </w:r>
      <w:r w:rsidR="002D3AEE">
        <w:rPr>
          <w:rFonts w:ascii="Times New Roman" w:hAnsi="Times New Roman" w:cs="Times New Roman"/>
          <w:sz w:val="24"/>
          <w:szCs w:val="24"/>
        </w:rPr>
        <w:t xml:space="preserve"> на сильное увеличение индукции </w:t>
      </w:r>
      <w:r w:rsidR="002D3AEE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2D3AEE" w:rsidRPr="002D3AEE">
        <w:rPr>
          <w:rFonts w:ascii="Times New Roman" w:hAnsi="Times New Roman" w:cs="Times New Roman"/>
          <w:sz w:val="24"/>
          <w:szCs w:val="24"/>
        </w:rPr>
        <w:t>3</w:t>
      </w:r>
      <w:r w:rsidR="002D3A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AEE" w:rsidRPr="002D3AEE">
        <w:rPr>
          <w:rFonts w:ascii="Times New Roman" w:hAnsi="Times New Roman" w:cs="Times New Roman"/>
          <w:sz w:val="24"/>
          <w:szCs w:val="24"/>
        </w:rPr>
        <w:t xml:space="preserve">4 </w:t>
      </w:r>
      <w:r w:rsidR="002D3AEE">
        <w:rPr>
          <w:rFonts w:ascii="Times New Roman" w:hAnsi="Times New Roman" w:cs="Times New Roman"/>
          <w:sz w:val="24"/>
          <w:szCs w:val="24"/>
        </w:rPr>
        <w:t>и</w:t>
      </w:r>
      <w:r w:rsidR="007234B7">
        <w:rPr>
          <w:rFonts w:ascii="Times New Roman" w:hAnsi="Times New Roman" w:cs="Times New Roman"/>
          <w:sz w:val="24"/>
          <w:szCs w:val="24"/>
        </w:rPr>
        <w:t>,</w:t>
      </w:r>
      <w:r w:rsidR="002D3AEE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7234B7">
        <w:rPr>
          <w:rFonts w:ascii="Times New Roman" w:hAnsi="Times New Roman" w:cs="Times New Roman"/>
          <w:sz w:val="24"/>
          <w:szCs w:val="24"/>
        </w:rPr>
        <w:t>, на</w:t>
      </w:r>
      <w:r w:rsidR="002D3AEE">
        <w:rPr>
          <w:rFonts w:ascii="Times New Roman" w:hAnsi="Times New Roman" w:cs="Times New Roman"/>
          <w:sz w:val="24"/>
          <w:szCs w:val="24"/>
        </w:rPr>
        <w:t xml:space="preserve"> уменьшение концентраций </w:t>
      </w:r>
      <w:proofErr w:type="spellStart"/>
      <w:r w:rsidR="002D3AEE">
        <w:rPr>
          <w:rFonts w:ascii="Times New Roman" w:hAnsi="Times New Roman" w:cs="Times New Roman"/>
          <w:sz w:val="24"/>
          <w:szCs w:val="24"/>
        </w:rPr>
        <w:t>Ампренавира</w:t>
      </w:r>
      <w:proofErr w:type="spellEnd"/>
      <w:r w:rsidR="002D3AEE">
        <w:rPr>
          <w:rFonts w:ascii="Times New Roman" w:hAnsi="Times New Roman" w:cs="Times New Roman"/>
          <w:sz w:val="24"/>
          <w:szCs w:val="24"/>
        </w:rPr>
        <w:t xml:space="preserve"> в плазме.</w:t>
      </w:r>
    </w:p>
    <w:p w:rsidR="008A3D96" w:rsidRDefault="008A3D96" w:rsidP="00F717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8A3D96" w:rsidRPr="008A3D96" w:rsidRDefault="008A3D96" w:rsidP="008A3D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8A3D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lastRenderedPageBreak/>
        <w:t xml:space="preserve">Structure and mechanism of the complex between cytochrome P4503A4 and ritonavir. </w:t>
      </w:r>
      <w:r w:rsidRPr="008A3D96">
        <w:rPr>
          <w:lang w:val="en-US"/>
        </w:rPr>
        <w:t xml:space="preserve">PMID: </w:t>
      </w:r>
      <w:hyperlink r:id="rId11" w:history="1">
        <w:r w:rsidRPr="008A3D96">
          <w:rPr>
            <w:rStyle w:val="a4"/>
            <w:lang w:val="en-US"/>
          </w:rPr>
          <w:t>20937904</w:t>
        </w:r>
      </w:hyperlink>
    </w:p>
    <w:p w:rsidR="008A3D96" w:rsidRPr="008A3D96" w:rsidRDefault="008A3D96" w:rsidP="008A3D96">
      <w:pPr>
        <w:pStyle w:val="1"/>
        <w:numPr>
          <w:ilvl w:val="0"/>
          <w:numId w:val="3"/>
        </w:numPr>
        <w:rPr>
          <w:b w:val="0"/>
          <w:sz w:val="24"/>
          <w:szCs w:val="24"/>
          <w:lang w:val="en-US"/>
        </w:rPr>
      </w:pPr>
      <w:r w:rsidRPr="008A3D96">
        <w:rPr>
          <w:b w:val="0"/>
          <w:sz w:val="24"/>
          <w:szCs w:val="24"/>
          <w:lang w:val="en-US"/>
        </w:rPr>
        <w:t>From Concept to Care: Pharmacokinetic Boosting of Protease Inhibitors</w:t>
      </w:r>
      <w:r w:rsidRPr="008A3D96">
        <w:rPr>
          <w:b w:val="0"/>
          <w:sz w:val="24"/>
          <w:szCs w:val="24"/>
          <w:lang w:val="en-US"/>
        </w:rPr>
        <w:t xml:space="preserve">. </w:t>
      </w:r>
      <w:r w:rsidRPr="008A3D96">
        <w:rPr>
          <w:b w:val="0"/>
          <w:bCs w:val="0"/>
          <w:sz w:val="24"/>
          <w:szCs w:val="24"/>
          <w:lang w:val="en-US"/>
        </w:rPr>
        <w:t xml:space="preserve">Marta </w:t>
      </w:r>
      <w:proofErr w:type="spellStart"/>
      <w:r w:rsidRPr="008A3D96">
        <w:rPr>
          <w:b w:val="0"/>
          <w:bCs w:val="0"/>
          <w:sz w:val="24"/>
          <w:szCs w:val="24"/>
          <w:lang w:val="en-US"/>
        </w:rPr>
        <w:t>Boffito</w:t>
      </w:r>
      <w:proofErr w:type="spellEnd"/>
      <w:r w:rsidRPr="008A3D96">
        <w:rPr>
          <w:b w:val="0"/>
          <w:bCs w:val="0"/>
          <w:sz w:val="24"/>
          <w:szCs w:val="24"/>
          <w:lang w:val="en-US"/>
        </w:rPr>
        <w:t>, MD, PhD</w:t>
      </w:r>
      <w:r w:rsidRPr="008A3D96">
        <w:rPr>
          <w:b w:val="0"/>
          <w:sz w:val="24"/>
          <w:szCs w:val="24"/>
          <w:lang w:val="en-US"/>
        </w:rPr>
        <w:br/>
        <w:t>Assoc</w:t>
      </w:r>
      <w:r>
        <w:rPr>
          <w:b w:val="0"/>
          <w:sz w:val="24"/>
          <w:szCs w:val="24"/>
          <w:lang w:val="en-US"/>
        </w:rPr>
        <w:t xml:space="preserve">iate Director, PK Research, Ltd </w:t>
      </w:r>
      <w:r w:rsidRPr="008A3D96">
        <w:rPr>
          <w:b w:val="0"/>
          <w:sz w:val="24"/>
          <w:szCs w:val="24"/>
          <w:lang w:val="en-US"/>
        </w:rPr>
        <w:t>Ch</w:t>
      </w:r>
      <w:r>
        <w:rPr>
          <w:b w:val="0"/>
          <w:sz w:val="24"/>
          <w:szCs w:val="24"/>
          <w:lang w:val="en-US"/>
        </w:rPr>
        <w:t xml:space="preserve">elsea and Westminster Hospital, </w:t>
      </w:r>
      <w:r w:rsidRPr="008A3D96">
        <w:rPr>
          <w:b w:val="0"/>
          <w:sz w:val="24"/>
          <w:szCs w:val="24"/>
          <w:lang w:val="en-US"/>
        </w:rPr>
        <w:t>London, United Kingdom</w:t>
      </w:r>
    </w:p>
    <w:p w:rsidR="008A3D96" w:rsidRPr="008A3D96" w:rsidRDefault="008A3D96" w:rsidP="008A3D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3D96">
        <w:rPr>
          <w:rFonts w:ascii="Times New Roman" w:hAnsi="Times New Roman" w:cs="Times New Roman"/>
          <w:sz w:val="24"/>
          <w:szCs w:val="24"/>
          <w:lang w:val="en-US"/>
        </w:rPr>
        <w:t>XEN and the Art of Pharmacology: New Learning from an Old Science</w:t>
      </w:r>
      <w:r w:rsidRPr="008A3D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3D96">
        <w:rPr>
          <w:rFonts w:ascii="Times New Roman" w:hAnsi="Times New Roman" w:cs="Times New Roman"/>
          <w:sz w:val="24"/>
          <w:szCs w:val="24"/>
          <w:lang w:val="en-US"/>
        </w:rPr>
        <w:t xml:space="preserve">Charles W. Flexner, </w:t>
      </w:r>
      <w:proofErr w:type="spellStart"/>
      <w:r w:rsidRPr="008A3D96">
        <w:rPr>
          <w:rFonts w:ascii="Times New Roman" w:hAnsi="Times New Roman" w:cs="Times New Roman"/>
          <w:sz w:val="24"/>
          <w:szCs w:val="24"/>
          <w:lang w:val="en-US"/>
        </w:rPr>
        <w:t>mdAssociate</w:t>
      </w:r>
      <w:proofErr w:type="spellEnd"/>
      <w:r w:rsidRPr="008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96">
        <w:rPr>
          <w:rFonts w:ascii="Times New Roman" w:hAnsi="Times New Roman" w:cs="Times New Roman"/>
          <w:sz w:val="24"/>
          <w:szCs w:val="24"/>
          <w:lang w:val="en-US"/>
        </w:rPr>
        <w:t>Professor,Medicine</w:t>
      </w:r>
      <w:proofErr w:type="spellEnd"/>
      <w:r w:rsidRPr="008A3D96">
        <w:rPr>
          <w:rFonts w:ascii="Times New Roman" w:hAnsi="Times New Roman" w:cs="Times New Roman"/>
          <w:sz w:val="24"/>
          <w:szCs w:val="24"/>
          <w:lang w:val="en-US"/>
        </w:rPr>
        <w:t xml:space="preserve">, Pharmacology, Molecular Sciences, and International </w:t>
      </w:r>
      <w:proofErr w:type="spellStart"/>
      <w:r w:rsidRPr="008A3D96">
        <w:rPr>
          <w:rFonts w:ascii="Times New Roman" w:hAnsi="Times New Roman" w:cs="Times New Roman"/>
          <w:sz w:val="24"/>
          <w:szCs w:val="24"/>
          <w:lang w:val="en-US"/>
        </w:rPr>
        <w:t>HealthJohns</w:t>
      </w:r>
      <w:proofErr w:type="spellEnd"/>
      <w:r w:rsidRPr="008A3D96">
        <w:rPr>
          <w:rFonts w:ascii="Times New Roman" w:hAnsi="Times New Roman" w:cs="Times New Roman"/>
          <w:sz w:val="24"/>
          <w:szCs w:val="24"/>
          <w:lang w:val="en-US"/>
        </w:rPr>
        <w:t xml:space="preserve"> Hopkins University School of </w:t>
      </w:r>
      <w:proofErr w:type="spellStart"/>
      <w:r w:rsidRPr="008A3D96">
        <w:rPr>
          <w:rFonts w:ascii="Times New Roman" w:hAnsi="Times New Roman" w:cs="Times New Roman"/>
          <w:sz w:val="24"/>
          <w:szCs w:val="24"/>
          <w:lang w:val="en-US"/>
        </w:rPr>
        <w:t>MedicineBaltimore</w:t>
      </w:r>
      <w:proofErr w:type="spellEnd"/>
      <w:r w:rsidRPr="008A3D96">
        <w:rPr>
          <w:rFonts w:ascii="Times New Roman" w:hAnsi="Times New Roman" w:cs="Times New Roman"/>
          <w:sz w:val="24"/>
          <w:szCs w:val="24"/>
          <w:lang w:val="en-US"/>
        </w:rPr>
        <w:t>, Maryland</w:t>
      </w:r>
      <w:r w:rsidRPr="008A3D9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8A3D96" w:rsidRPr="008A3D96" w:rsidSect="00CC7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1D8B"/>
    <w:multiLevelType w:val="hybridMultilevel"/>
    <w:tmpl w:val="491C4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50BF5"/>
    <w:multiLevelType w:val="hybridMultilevel"/>
    <w:tmpl w:val="151E8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7B56"/>
    <w:multiLevelType w:val="hybridMultilevel"/>
    <w:tmpl w:val="4EF0C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AA"/>
    <w:rsid w:val="001A4E8D"/>
    <w:rsid w:val="001D164E"/>
    <w:rsid w:val="001F4B9C"/>
    <w:rsid w:val="00220F89"/>
    <w:rsid w:val="00253301"/>
    <w:rsid w:val="00254AAF"/>
    <w:rsid w:val="0028705A"/>
    <w:rsid w:val="002D3AEE"/>
    <w:rsid w:val="002D4000"/>
    <w:rsid w:val="00307849"/>
    <w:rsid w:val="003F6F2E"/>
    <w:rsid w:val="004A26AA"/>
    <w:rsid w:val="004D02A6"/>
    <w:rsid w:val="004E07AA"/>
    <w:rsid w:val="005B2D5F"/>
    <w:rsid w:val="005D5161"/>
    <w:rsid w:val="006B360B"/>
    <w:rsid w:val="006C3267"/>
    <w:rsid w:val="0070488B"/>
    <w:rsid w:val="007234B7"/>
    <w:rsid w:val="007268CB"/>
    <w:rsid w:val="007977F4"/>
    <w:rsid w:val="007D14E4"/>
    <w:rsid w:val="00862052"/>
    <w:rsid w:val="008A3D96"/>
    <w:rsid w:val="008B4DE8"/>
    <w:rsid w:val="009230F7"/>
    <w:rsid w:val="00964531"/>
    <w:rsid w:val="00A37386"/>
    <w:rsid w:val="00AB3589"/>
    <w:rsid w:val="00BA6750"/>
    <w:rsid w:val="00CC7E45"/>
    <w:rsid w:val="00D04277"/>
    <w:rsid w:val="00E460ED"/>
    <w:rsid w:val="00E5534B"/>
    <w:rsid w:val="00EA564D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778"/>
  <w15:chartTrackingRefBased/>
  <w15:docId w15:val="{9175276F-7DED-487A-9E96-DC52C7C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307849"/>
  </w:style>
  <w:style w:type="paragraph" w:styleId="a3">
    <w:name w:val="List Paragraph"/>
    <w:basedOn w:val="a"/>
    <w:uiPriority w:val="34"/>
    <w:qFormat/>
    <w:rsid w:val="002870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67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8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tinoid_X_recep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0937904" TargetMode="External"/><Relationship Id="rId11" Type="http://schemas.openxmlformats.org/officeDocument/2006/relationships/hyperlink" Target="https://www.ncbi.nlm.nih.gov/pubmed/2093790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2020-06-29T12:17:00Z</dcterms:created>
  <dcterms:modified xsi:type="dcterms:W3CDTF">2020-06-30T13:54:00Z</dcterms:modified>
</cp:coreProperties>
</file>